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AnrV 2022 — Anwendungsbereich</w:t>
      </w:r>
    </w:p>
    <w:p>
      <w:r>
        <w:rPr>
          <w:color w:val="555555"/>
          <w:sz w:val="18"/>
        </w:rPr>
        <w:t xml:space="preserve">53. Anrechnungsverordnung</w:t>
      </w:r>
    </w:p>
    <w:p>
      <w:r>
        <w:rPr>
          <w:color w:val="555555"/>
          <w:sz w:val="18"/>
        </w:rPr>
        <w:t xml:space="preserve">Historische Fassung: Stand 01.07.2022 bis 01.07.2023. Dies ist nicht die aktuelle Fassung.</w:t>
      </w:r>
    </w:p>
    <w:p>
      <w:r>
        <w:t xml:space="preserve">Diese Verordnung gilt im Gebiet der Bundesrepublik Deutschland.</w:t>
      </w:r>
    </w:p>
    <w:p>
      <w:r>
        <w:rPr>
          <w:color w:val="555555"/>
          <w:sz w:val="17"/>
        </w:rPr>
        <w:t xml:space="preserve">Zitiervorschlag: § 1 AnrV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