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AnrV 2020</w:t>
      </w:r>
    </w:p>
    <w:p>
      <w:r>
        <w:rPr>
          <w:color w:val="555555"/>
          <w:sz w:val="18"/>
        </w:rPr>
        <w:t xml:space="preserve">52. Anrechnungsverordnung</w:t>
      </w:r>
    </w:p>
    <w:p>
      <w:r>
        <w:rPr>
          <w:color w:val="555555"/>
          <w:sz w:val="18"/>
        </w:rPr>
        <w:t xml:space="preserve">Historische Fassung: Stand 01.07.2020 bis 01.07.2022.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AnrV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https://recht.nulegal.eu/gesetze/AnrV%202020/schlussformel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AnrV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