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AnrV 2019</w:t>
      </w:r>
    </w:p>
    <w:p>
      <w:r>
        <w:rPr>
          <w:color w:val="555555"/>
          <w:sz w:val="18"/>
        </w:rPr>
        <w:t xml:space="preserve">51. Anrechnungsverordnung</w:t>
      </w:r>
    </w:p>
    <w:p>
      <w:r>
        <w:rPr>
          <w:color w:val="555555"/>
          <w:sz w:val="18"/>
        </w:rPr>
        <w:t xml:space="preserve">Historische Fassung: Stand 02.07.2019 bis 01.07.2020. Dies ist nicht die aktuelle Fassung.</w:t>
      </w:r>
    </w:p>
    <w:p>
      <w:r>
        <w:t xml:space="preserve">Diese Verordnung gilt im Gebiet der Bundesrepublik Deutschland zur Feststellung der in § 2 genannten Leistungen, soweit die Ansprüche in der Zeit vom 1. Juli 2019 an bestehen.</w:t>
      </w:r>
    </w:p>
    <w:p>
      <w:r>
        <w:rPr>
          <w:color w:val="555555"/>
          <w:sz w:val="17"/>
        </w:rPr>
        <w:t xml:space="preserve">Zitiervorschlag: § 1 AnrV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https://recht.nulegal.eu/gesetze/AnrV%202019/1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AnrV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