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AnrV 2018</w:t>
      </w:r>
    </w:p>
    <w:p>
      <w:r>
        <w:rPr>
          <w:color w:val="555555"/>
          <w:sz w:val="18"/>
        </w:rPr>
        <w:t xml:space="preserve">50. Anrechnungsverordnung</w:t>
      </w:r>
    </w:p>
    <w:p>
      <w:r>
        <w:rPr>
          <w:color w:val="555555"/>
          <w:sz w:val="18"/>
        </w:rPr>
        <w:t xml:space="preserve">Historische Fassung: Stand 10.06.2019 bis 02.07.2019. Dies ist nicht die aktuelle Fassung.</w:t>
      </w:r>
    </w:p>
    <w:p>
      <w:r>
        <w:t xml:space="preserve">Diese Verordnung tritt am 1. Juli 2018 in Kraft. Gleichzeitig tritt die Neunundvierzigste Anrechnungsverordnung vom 8. Juni 2017 (BGBl. I S. 1526) außer Kraft.</w:t>
      </w:r>
    </w:p>
    <w:p>
      <w:r>
        <w:rPr>
          <w:color w:val="555555"/>
          <w:sz w:val="17"/>
        </w:rPr>
        <w:t xml:space="preserve">Zitiervorschlag: § 6 AnrV 2018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https://recht.nulegal.eu/gesetze/AnrV%202018/6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