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AnrV 2018</w:t>
      </w:r>
    </w:p>
    <w:p>
      <w:r>
        <w:rPr>
          <w:color w:val="555555"/>
          <w:sz w:val="18"/>
        </w:rPr>
        <w:t xml:space="preserve">50. Anrechnungsverordnung</w:t>
      </w:r>
    </w:p>
    <w:p>
      <w:r>
        <w:rPr>
          <w:color w:val="555555"/>
          <w:sz w:val="18"/>
        </w:rPr>
        <w:t xml:space="preserve">Historische Fassung: Stand 10.06.2019 bis 02.07.2019. Dies ist nicht die aktuelle Fassung.</w:t>
      </w:r>
    </w:p>
    <w:p>
      <w:r>
        <w:t xml:space="preserve">Das anzurechnende Einkommen zur Feststellung der Ausgleichsrenten, der Ehegatten- und Kinderzuschläge sowie der Elternrenten (§ 33 Absatz 1, § 41 Absatz 3, § 47 Absatz 2, § 33a Absatz 1 Satz 3, § 33b Absatz 5 Satz 3 und § 51 Absatz 4 des Bundesversorgungsgesetzes) ergibt sich aus der dieser Verordnung als Anlage beigegebenen Tabelle. In der Tabelle sind auch die nach Anrechnung des Einkommens zustehenden Beträge an Ausgleichsrente und Elternrente angegeben, die zustehende Elternrente jedoch nur insoweit, als kein Anspruch auf Erhöhungsbeträge nach § 51 Absatz 2 oder 3 des Bundesversorgungsgesetzes besteht. Besteht Anspruch auf mindestens einen Erhöhungsbetrag, so ist die zustehende Elternrente, ausgehend vom Gesamtbetrag der vollen Elternrente einschließlich des Erhöhungsbetrages, durch Abziehen des in der Tabelle angegebenen anzurechnenden Einkommens zu ermitteln.</w:t>
      </w:r>
    </w:p>
    <w:p>
      <w:r>
        <w:rPr>
          <w:color w:val="555555"/>
          <w:sz w:val="17"/>
        </w:rPr>
        <w:t xml:space="preserve">Zitiervorschlag: § 2 AnrV 2018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https://recht.nulegal.eu/gesetze/AnrV%202018/2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