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AnpflEigentG — Entschädigung für den Rechtsverlust, Wegnahmerecht</w:t>
      </w:r>
    </w:p>
    <w:p>
      <w:r>
        <w:rPr>
          <w:color w:val="555555"/>
          <w:sz w:val="18"/>
        </w:rPr>
        <w:t xml:space="preserve">Anpflanzungseigentumsgesetz</w:t>
      </w:r>
    </w:p>
    <w:p>
      <w:r>
        <w:rPr>
          <w:color w:val="555555"/>
          <w:sz w:val="18"/>
        </w:rPr>
        <w:t xml:space="preserve">Stand: 10.06.2019 (konsolidierte Textfassung, kein amtliches Inkrafttretensdatum)</w:t>
      </w:r>
    </w:p>
    <w:p>
      <w:r>
        <w:t xml:space="preserve">(1) Erleidet der Nutzer infolge des Eigentumsübergangs nach § 2 einen Rechtsverlust, kann er vom Grundstückseigentümer bei mehrjährigen fruchttragenden Kulturen, insbesondere Obstbäumen, Beerensträuchern, Reb- und Hopfenstöcken, eine angemessene Entschädigung in Geld verlangen.</w:t>
      </w:r>
    </w:p>
    <w:p>
      <w:r>
        <w:t xml:space="preserve">(2) Für Bäume, Feldgehölze und Hecken hat der Grundstückseigentümer dem Nutzer nur dann eine Entschädigung zu leisten, wenn die Anpflanzungen einen Vermögenswert haben. Die Entschädigung ist nach dem durch den Eigentumsübergang eingetretenen Vermögensnachteil, jedoch nicht über den beim Grundstückseigentümer eingetretenen Vermögenszuwachs hinaus, zu bemessen.</w:t>
      </w:r>
    </w:p>
    <w:p>
      <w:r>
        <w:t xml:space="preserve">(3) Der Nutzer ist zur Wegnahme verpflanzbarer Holzpflanzen der in Absatz 1 bezeichneten Art berechtigt, soweit andere Rechtsvorschriften dem nicht entgegenstehen. Nimmt er diese weg, ist eine Entschädigung ausgeschlossen.</w:t>
      </w:r>
    </w:p>
    <w:p>
      <w:r>
        <w:rPr>
          <w:color w:val="555555"/>
          <w:sz w:val="17"/>
        </w:rPr>
        <w:t xml:space="preserve">Zitiervorschlag: § 3 AnpflEigentG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https://recht.nulegal.eu/gesetze/AnpflEigentG/3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