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AnlV 2016 — Inkrafttreten</w:t>
      </w:r>
    </w:p>
    <w:p>
      <w:r>
        <w:rPr>
          <w:color w:val="555555"/>
          <w:sz w:val="18"/>
        </w:rPr>
        <w:t xml:space="preserve">Anlageverordnung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7 AnlV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https://recht.nulegal.eu/gesetze/AnlV%202016/7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