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AnlV 2016 — Kongruenz</w:t>
      </w:r>
    </w:p>
    <w:p>
      <w:r>
        <w:rPr>
          <w:color w:val="555555"/>
          <w:sz w:val="18"/>
        </w:rPr>
        <w:t xml:space="preserve">Anlageverordnung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Sicherungsvermögen ist nach Maßgabe der Kongruenzregeln in der Anlage zu dieser Verordnung in Vermögenswerten anzulegen, die auf dieselbe Währung lauten, in der die Versicherungen erfüllt werden müssen. Dabei gelten</w:t>
      </w:r>
    </w:p>
    <w:p>
      <w:pPr>
        <w:ind w:left="420"/>
      </w:pPr>
      <w:r>
        <w:t xml:space="preserve">1. Grundstücke und grundstücksgleiche Rechte als in der Währung des Landes angelegt, in dem sie belegen sind,</w:t>
      </w:r>
    </w:p>
    <w:p>
      <w:pPr>
        <w:ind w:left="420"/>
      </w:pPr>
      <w:r>
        <w:t xml:space="preserve">2. Aktien und Anteile als in der Währung angelegt, in der sie in einen organisierten Markt einbezogen sind, und</w:t>
      </w:r>
    </w:p>
    <w:p>
      <w:pPr>
        <w:ind w:left="420"/>
      </w:pPr>
      <w:r>
        <w:t xml:space="preserve">3. nicht in einen organisierten Markt einbezogene Aktien und Anteile als in der Währung des Landes angelegt, in dem der Aussteller der Wertpapiere oder Anteile seinen Sitz hat.</w:t>
      </w:r>
    </w:p>
    <w:p>
      <w:r>
        <w:rPr>
          <w:color w:val="555555"/>
          <w:sz w:val="17"/>
        </w:rPr>
        <w:t xml:space="preserve">Zitiervorschlag: § 5 AnlV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https://recht.nulegal.eu/gesetze/AnlV%202016/5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