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AnlGBlnV</w:t>
      </w:r>
    </w:p>
    <w:p>
      <w:r>
        <w:rPr>
          <w:color w:val="555555"/>
          <w:sz w:val="18"/>
        </w:rPr>
        <w:t xml:space="preserve">Verordnung zur Erstreckung des Anleihe-Gesetzes von 1950 auf das Land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2 AnlGBlnV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https://recht.nulegal.eu/gesetze/AnlGBlnV/2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