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AnlBV 2004 — Ordnungswidrigkeiten</w:t>
      </w:r>
    </w:p>
    <w:p>
      <w:r>
        <w:rPr>
          <w:color w:val="555555"/>
          <w:sz w:val="18"/>
        </w:rPr>
        <w:t xml:space="preserve">Anlaufbedingungsverordnung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15 Abs. 1 Nr. 2 des Seeaufgabengesetzes handelt, wer vorsätzlich oder fahrlässig entgegen § 1 Abs. 1 in Verbindung mit den Nummern 2.1.1, 2.1.2, 2.2.1 oder 2.2.2 der Anlage eine Meldung nicht, nicht richtig, nicht vollständig oder nicht rechtzeitig macht.</w:t>
      </w:r>
    </w:p>
    <w:p>
      <w:r>
        <w:t xml:space="preserve">(1a) (weggefallen)</w:t>
      </w:r>
    </w:p>
    <w:p>
      <w:r>
        <w:t xml:space="preserve">(2) Die Zuständigkeit für die Verfolgung und Ahndung von Ordnungswidrigkeiten nach Absatz 1 wird auf die Generaldirektion Wasserstraßen und Schifffahrt übertragen.</w:t>
      </w:r>
    </w:p>
    <w:p>
      <w:r>
        <w:rPr>
          <w:color w:val="555555"/>
          <w:sz w:val="17"/>
        </w:rPr>
        <w:t xml:space="preserve">Zitiervorschlag: § 3 AnlBV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https://recht.nulegal.eu/gesetze/AnlBV%202004/3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