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AnlBV 2004 — Folgen von Verstößen</w:t>
      </w:r>
    </w:p>
    <w:p>
      <w:r>
        <w:rPr>
          <w:color w:val="555555"/>
          <w:sz w:val="18"/>
        </w:rPr>
        <w:t xml:space="preserve">Anlaufbedingungsverordnung</w:t>
      </w:r>
    </w:p>
    <w:p>
      <w:r>
        <w:rPr>
          <w:color w:val="555555"/>
          <w:sz w:val="18"/>
        </w:rPr>
        <w:t xml:space="preserve">Stand: 10.06.2019 (konsolidierte Textfassung, kein amtliches Inkrafttretensdatum)</w:t>
      </w:r>
    </w:p>
    <w:p>
      <w:r>
        <w:t xml:space="preserve">(1) Ein Schiff, dessen Schiffsführer, Betreiber oder Agent die in der Anlage festgelegten Bedingungen für das An- und Auslaufen nicht erfüllt hat, wird von der jeweils zuständigen Verkehrszentrale zunächst auf diesen Umstand hingewiesen. Werden die vorgeschriebenen Meldungen dennoch nicht abgegeben, können die zuständigen Behörden diesen Umstand als hinreichenden Verdacht eines Verstoßes gegen die anwendbaren Schiffssicherheitsvorschriften ansehen und eine Kontrolle des Schiffes im Bereich der deutschen Hoheitsbefugnisse durchführen.</w:t>
      </w:r>
    </w:p>
    <w:p>
      <w:r>
        <w:t xml:space="preserve">(2) Jedes Schiff, dessen Betreiber, Agent oder Schiffsführer gegen die Meldepflicht nach Nummer 2.1.2 oder 2.2.2 der Anlage verstößt, wird im deutschen Bestimmungshafen einer erweiterten Überprüfung im Sinne des Artikels 14 der Richtlinie 2009/16/EG des Europäischen Parlaments und des Rates vom 23. April 2009 über die Hafenstaatkontrolle (Neufassung) (ABl. L 131 vom 28.5.2009, S. 57) in der jeweils geltenden Fassung unterzogen.</w:t>
      </w:r>
    </w:p>
    <w:p>
      <w:r>
        <w:rPr>
          <w:color w:val="555555"/>
          <w:sz w:val="17"/>
        </w:rPr>
        <w:t xml:space="preserve">Zitiervorschlag: § 2 AnlBV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https://recht.nulegal.eu/gesetze/AnlBV%202004/2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