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AnlBV 2004 — Geltungsbereich</w:t>
      </w:r>
    </w:p>
    <w:p>
      <w:r>
        <w:rPr>
          <w:color w:val="555555"/>
          <w:sz w:val="18"/>
        </w:rPr>
        <w:t xml:space="preserve">Anlaufbedingungsverordnung</w:t>
      </w:r>
    </w:p>
    <w:p>
      <w:r>
        <w:rPr>
          <w:color w:val="555555"/>
          <w:sz w:val="18"/>
        </w:rPr>
        <w:t xml:space="preserve">Stand: 21.12.2021 (konsolidierte Textfassung, kein amtliches Inkrafttretensdatum)</w:t>
      </w:r>
    </w:p>
    <w:p>
      <w:r>
        <w:t xml:space="preserve">(1) Schiffe, die aus Seegebieten seewärts der Grenze des deutschen Küstenmeeres kommend die inneren Gewässer der Bundesrepublik Deutschland anlaufen, aus diesen auslaufen oder in diesen verkehren, haben zur Verhütung, Entdeckung, Überwachung und Verringerung von Verschmutzungen der Meeresumwelt durch Schiffe sowie zur Erhöhung der Sicherheit und Leichtigkeit des Seeverkehrs und zur Verhütung von Unfällen die in der Anlage genannten Bedingungen für das An- und Auslaufen einzuhalten.</w:t>
      </w:r>
    </w:p>
    <w:p>
      <w:r>
        <w:t xml:space="preserve">(2) Das Bundesamt für Seeschifffahrt und Hydrographie hat die Anlage nach ihrer Verkündung mindestens einmal jährlich in deutscher Sprache und einer englischen Übersetzung in den "Nachrichten für Seefahrer" bekannt zu machen.</w:t>
      </w:r>
    </w:p>
    <w:p>
      <w:r>
        <w:t xml:space="preserve">(3) Diese Verordnung gilt nicht</w:t>
      </w:r>
    </w:p>
    <w:p>
      <w:pPr>
        <w:ind w:left="420"/>
      </w:pPr>
      <w:r>
        <w:t xml:space="preserve">1. für Schiffe, die zu hoheitlichen Zwecken eingesetzt sind und nicht Handelszwecken dienen, insbesondere Dienstschiffe und Forschungsschiffe, sowie Schiffe im Lotsenversetzdienst,</w:t>
      </w:r>
    </w:p>
    <w:p>
      <w:pPr>
        <w:ind w:left="420"/>
      </w:pPr>
      <w:r>
        <w:t xml:space="preserve">2. mit Ausnahme der Nummern 3.1 und 8 der Anlage für Kriegsschiffe anderer Staaten und sonstige staatliche Schiffe, die nicht zu Handelszwecken eingesetzt werden,</w:t>
      </w:r>
    </w:p>
    <w:p>
      <w:pPr>
        <w:ind w:left="420"/>
      </w:pPr>
      <w:r>
        <w:t xml:space="preserve">3. für Traditionsschiffe, deren Rumpflänge 45 Meter nicht übersteigt,</w:t>
      </w:r>
    </w:p>
    <w:p>
      <w:pPr>
        <w:ind w:left="420"/>
      </w:pPr>
      <w:r>
        <w:t xml:space="preserve">4. für Sportfahrzeuge, die für nicht mehr als zwölf Personen zugelassen sind und deren Rumpflänge 45 Meter nicht übersteigt.</w:t>
      </w:r>
    </w:p>
    <w:p>
      <w:r>
        <w:t xml:space="preserve">(4) Diese Verordnung gilt ferner nicht für Bunker auf Schiffen unter 1 000 BRZ, Bordvorräte und Schiffsausrüstung.</w:t>
      </w:r>
    </w:p>
    <w:p>
      <w:r>
        <w:rPr>
          <w:color w:val="555555"/>
          <w:sz w:val="17"/>
        </w:rPr>
        <w:t xml:space="preserve">Zitiervorschlag: § 1 AnlBV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https://recht.nulegal.eu/gesetze/AnlBV%202004/1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