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AnhV (Brandenburg) — Kosten</w:t>
      </w:r>
    </w:p>
    <w:p>
      <w:r>
        <w:rPr>
          <w:color w:val="555555"/>
          <w:sz w:val="18"/>
        </w:rPr>
        <w:t xml:space="preserve">Anhörungsverordnung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Kosten für Anhörungen nach § 1 Abs. 1 Nr. 1 trägt das Land.</w:t>
      </w:r>
    </w:p>
    <w:p>
      <w:r>
        <w:t xml:space="preserve">(2) Die Kosten für Anhörungen nach § 1 Abs. 1 Nr. 2 tragen die Gemeinden, in denen die Anhörungen durchgeführt werden.</w:t>
      </w:r>
    </w:p>
    <w:p>
      <w:r>
        <w:rPr>
          <w:color w:val="555555"/>
          <w:sz w:val="17"/>
        </w:rPr>
        <w:t xml:space="preserve">Zitiervorschlag: § 7 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https://recht.nulegal.eu/gesetze/AnhV/7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