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AnhV (Brandenburg) — Anwendungsbereich</w:t>
      </w:r>
    </w:p>
    <w:p>
      <w:r>
        <w:rPr>
          <w:color w:val="555555"/>
          <w:sz w:val="18"/>
        </w:rPr>
        <w:t xml:space="preserve">Anhörungsverordnung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Eine Anhörung der Bürger erfolgt</w:t>
      </w:r>
    </w:p>
    <w:p>
      <w:r>
        <w:t xml:space="preserve">vor einer Gebietsänderung durch Gesetz oder durch Rechtsverordnung gemäß § 6 Abs. 6 Satz 1 der Kommunalverfassung des Landes Brandenburg und</w:t>
      </w:r>
    </w:p>
    <w:p>
      <w:r>
        <w:t xml:space="preserve">vor einer Gebietsänderung durch Vertrag nach § 6 Abs. 2 oder Abs. 3 der Kommunalverfassung des Landes Brandenburg.</w:t>
      </w:r>
    </w:p>
    <w:p>
      <w:r>
        <w:t xml:space="preserve">(2) Eine Anhörung nach Absatz 1 Nr. 2 entfällt, soweit ein Bürgerentscheid nach § 6 Abs. 5 der Kommunalverfassung des Landes Brandenburg in Verbindung mit § 15 Abs. 5 der Kommunalverfassung des Landes Brandenburg durchgeführt wird.</w:t>
      </w:r>
    </w:p>
    <w:p>
      <w:r>
        <w:rPr>
          <w:color w:val="555555"/>
          <w:sz w:val="17"/>
        </w:rPr>
        <w:t xml:space="preserve">Zitiervorschlag: § 1 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https://recht.nulegal.eu/gesetze/AnhV/1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