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AnfG 1999 — Anfechtung durch Einrede</w:t>
      </w:r>
    </w:p>
    <w:p>
      <w:r>
        <w:rPr>
          <w:color w:val="555555"/>
          <w:sz w:val="18"/>
        </w:rPr>
        <w:t xml:space="preserve">Anfechtungsgesetz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Anfechtbarkeit kann im Wege der Einrede geltend gemacht werden, bevor ein vollstreckbarer Schuldtitel für die Forderung erlangt ist; der Gläubiger hat diesen jedoch vor der Entscheidung binnen einer vom Gericht zu bestimmenden Frist beizubringen.</w:t>
      </w:r>
    </w:p>
    <w:p>
      <w:r>
        <w:rPr>
          <w:color w:val="555555"/>
          <w:sz w:val="17"/>
        </w:rPr>
        <w:t xml:space="preserve">Zitiervorschlag: § 9 AnfG 1999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https://recht.nulegal.eu/gesetze/AnfG%201999/9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