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AnfG 1999 — Gesellschafterdarlehen</w:t>
      </w:r>
    </w:p>
    <w:p>
      <w:r>
        <w:rPr>
          <w:color w:val="555555"/>
          <w:sz w:val="18"/>
        </w:rPr>
        <w:t xml:space="preserve">Anfechtungsgesetz</w:t>
      </w:r>
    </w:p>
    <w:p>
      <w:r>
        <w:rPr>
          <w:color w:val="555555"/>
          <w:sz w:val="18"/>
        </w:rPr>
        <w:t xml:space="preserve">Stand: 10.06.2019 (konsolidierte Textfassung, kein amtliches Inkrafttretensdatum)</w:t>
      </w:r>
    </w:p>
    <w:p>
      <w:r>
        <w:t xml:space="preserve">(1) Anfechtbar ist eine Rechtshandlung, die für die Forderung eines Gesellschafters auf Rückgewähr eines Darlehens im Sinne des § 39 Abs. 1 Nr. 5 der Insolvenzordnung oder für eine gleichgestellte Forderung</w:t>
      </w:r>
    </w:p>
    <w:p>
      <w:pPr>
        <w:ind w:left="420"/>
      </w:pPr>
      <w:r>
        <w:t xml:space="preserve">1. Sicherung gewährt hat, wenn die Handlung in den letzten zehn Jahren vor Erlangung des vollstreckbaren Schuldtitels oder danach vorgenommen worden ist, oder</w:t>
      </w:r>
    </w:p>
    <w:p>
      <w:pPr>
        <w:ind w:left="420"/>
      </w:pPr>
      <w:r>
        <w:t xml:space="preserve">2. Befriedigung gewährt hat, wenn die Handlung im letzten Jahr vor Erlangung des vollstreckbaren Schuldtitels oder danach vorgenommen worden ist.</w:t>
      </w:r>
    </w:p>
    <w:p>
      <w:r>
        <w:t xml:space="preserve">Wurde ein Antrag auf Eröffnung eines Insolvenzverfahrens nach § 26 Abs. 1 der Insolvenzordnung abgewiesen, bevor der Gläubiger einen vollstreckbaren Schuldtitel erlangt hat, so beginnt die Anfechtungsfrist mit dem Antrag auf Eröffnung des Insolvenzverfahrens.</w:t>
      </w:r>
    </w:p>
    <w:p>
      <w:r>
        <w:t xml:space="preserve">(2) Die Anfechtung ist ausgeschlossen, wenn nach dem Schluss des Jahres, in dem der Gläubiger den vollstreckbaren Schuldtitel erlangt hat, drei Jahre verstrichen sind. Wurde die Handlung später vorgenommen, so ist die Anfechtung drei Jahre nach dem Schluss des Jahres ausgeschlossen, in dem die Handlung vorgenommen worden ist.</w:t>
      </w:r>
    </w:p>
    <w:p>
      <w:r>
        <w:rPr>
          <w:color w:val="555555"/>
          <w:sz w:val="17"/>
        </w:rPr>
        <w:t xml:space="preserve">Zitiervorschlag: § 6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