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AnfG 1999 — Rechtshandlungen des Erben</w:t>
      </w:r>
    </w:p>
    <w:p>
      <w:r>
        <w:rPr>
          <w:color w:val="555555"/>
          <w:sz w:val="18"/>
        </w:rPr>
        <w:t xml:space="preserve">Anfechtungsgesetz</w:t>
      </w:r>
    </w:p>
    <w:p>
      <w:r>
        <w:rPr>
          <w:color w:val="555555"/>
          <w:sz w:val="18"/>
        </w:rPr>
        <w:t xml:space="preserve">Stand: 10.06.2019 (konsolidierte Textfassung, kein amtliches Inkrafttretensdatum)</w:t>
      </w:r>
    </w:p>
    <w:p>
      <w:r>
        <w:t xml:space="preserve">Hat der Erbe aus dem Nachlaß Pflichtteilsansprüche, Vermächtnisse oder Auflagen erfüllt, so kann ein Nachlaßgläubiger, der im Insolvenzverfahren über den Nachlaß dem Empfänger der Leistung im Rang vorgehen oder gleichstehen würde, die Leistung in gleicher Weise anfechten wie eine unentgeltliche Leistung des Erben.</w:t>
      </w:r>
    </w:p>
    <w:p>
      <w:r>
        <w:rPr>
          <w:color w:val="555555"/>
          <w:sz w:val="17"/>
        </w:rPr>
        <w:t xml:space="preserve">Zitiervorschlag: § 5 AnfG 1999</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https://recht.nulegal.eu/gesetze/AnfG%201999/5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