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AnfG 1999 — Unentgeltliche Leistung</w:t>
      </w:r>
    </w:p>
    <w:p>
      <w:r>
        <w:rPr>
          <w:color w:val="555555"/>
          <w:sz w:val="18"/>
        </w:rPr>
        <w:t xml:space="preserve">Anfechtungsgesetz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Anfechtbar ist eine unentgeltliche Leistung des Schuldners, es sei denn, sie ist früher als vier Jahre vor der Anfechtung vorgenommen worden.</w:t>
      </w:r>
    </w:p>
    <w:p>
      <w:r>
        <w:t xml:space="preserve">(2) Richtet sich die Leistung auf ein gebräuchliches Gelegenheitsgeschenk geringen Werts, so ist sie nicht anfechtbar.</w:t>
      </w:r>
    </w:p>
    <w:p>
      <w:r>
        <w:rPr>
          <w:color w:val="555555"/>
          <w:sz w:val="17"/>
        </w:rPr>
        <w:t xml:space="preserve">Zitiervorschlag: § 4 AnfG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https://recht.nulegal.eu/gesetze/AnfG%201999/4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