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AnfG 1999 — Übergangsregeln</w:t>
      </w:r>
    </w:p>
    <w:p>
      <w:r>
        <w:rPr>
          <w:color w:val="555555"/>
          <w:sz w:val="18"/>
        </w:rPr>
        <w:t xml:space="preserve">Anfechtungsgesetz</w:t>
      </w:r>
    </w:p>
    <w:p>
      <w:r>
        <w:rPr>
          <w:color w:val="555555"/>
          <w:sz w:val="18"/>
        </w:rPr>
        <w:t xml:space="preserve">Stand: 10.06.2019 (konsolidierte Textfassung, kein amtliches Inkrafttretensdatum)</w:t>
      </w:r>
    </w:p>
    <w:p>
      <w:r>
        <w:t xml:space="preserve">(1) Dieses Gesetz ist auf die vor dem 1. Januar 1999 vorgenommenen Rechtshandlungen nur anzuwenden, soweit diese nicht nach dem bisherigen Recht der Anfechtung entzogen oder in geringerem Umfang unterworfen sind.</w:t>
      </w:r>
    </w:p>
    <w:p>
      <w:r>
        <w:t xml:space="preserve">(2) Das Gesetz, betreffend die Anfechtung von Rechtshandlungen eines Schuldners außerhalb des Konkursverfahrens in der im Bundesgesetzblatt Teil III, Gliederungsnummer 311-5, veröffentlichten bereinigten Fassung, zuletzt geändert durch Artikel 9 des Gesetzes vom 4. Juli 1980 (BGBl. I S. 836), wird aufgehoben. Es ist jedoch weiter auf die Fälle anzuwenden, bei denen die Anfechtbarkeit vor dem 1. Januar 1999 gerichtlich geltend gemacht worden ist.</w:t>
      </w:r>
    </w:p>
    <w:p>
      <w:r>
        <w:t xml:space="preserve">(3) Die Vorschriften dieses Gesetzes in der ab dem Inkrafttreten des Gesetzes vom 23. Oktober 2008 (BGBl. I S. 2026) am 1. November 2008 geltenden Fassung sind auf vor dem 1. November 2008 vorgenommene Rechtshandlungen nur anzuwenden, soweit diese nicht nach dem bisherigen Recht der Anfechtung entzogen oder in geringerem Umfang unterworfen sind; andernfalls sind die bis zum 1. November 2008 anwendbaren Vorschriften weiter anzuwenden.</w:t>
      </w:r>
    </w:p>
    <w:p>
      <w:r>
        <w:t xml:space="preserve">(4) Auf Fälle, bei denen die Anfechtbarkeit vor dem 5. April 2017 gerichtlich geltend gemacht worden ist, sind die bis dahin geltenden Vorschriften weiter anzuwenden.</w:t>
      </w:r>
    </w:p>
    <w:p>
      <w:r>
        <w:rPr>
          <w:color w:val="555555"/>
          <w:sz w:val="17"/>
        </w:rPr>
        <w:t xml:space="preserve">Zitiervorschlag: § 20 AnfG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https://recht.nulegal.eu/gesetze/AnfG%201999/20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