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AnfG 1999 — Anfechtungsberechtigte</w:t>
      </w:r>
    </w:p>
    <w:p>
      <w:r>
        <w:rPr>
          <w:color w:val="555555"/>
          <w:sz w:val="18"/>
        </w:rPr>
        <w:t xml:space="preserve">Anfechtungsgesetz</w:t>
      </w:r>
    </w:p>
    <w:p>
      <w:r>
        <w:rPr>
          <w:color w:val="555555"/>
          <w:sz w:val="18"/>
        </w:rPr>
        <w:t xml:space="preserve">Stand: 10.06.2019 (konsolidierte Textfassung, kein amtliches Inkrafttretensdatum)</w:t>
      </w:r>
    </w:p>
    <w:p>
      <w:r>
        <w:t xml:space="preserve">Zur Anfechtung ist jeder Gläubiger berechtigt, der einen vollstreckbaren Schuldtitel erlangt hat und dessen Forderung fällig ist, wenn die Zwangsvollstreckung in das Vermögen des Schuldners nicht zu einer vollständigen Befriedigung des Gläubigers geführt hat oder wenn anzunehmen ist, daß sie nicht dazu führen würde.</w:t>
      </w:r>
    </w:p>
    <w:p>
      <w:r>
        <w:rPr>
          <w:color w:val="555555"/>
          <w:sz w:val="17"/>
        </w:rPr>
        <w:t xml:space="preserve">Zitiervorschlag: § 2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https://recht.nulegal.eu/gesetze/AnfG%201999/2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