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AnfG 1999 — Eröffnung des Insolvenzverfahrens</w:t>
      </w:r>
    </w:p>
    <w:p>
      <w:r>
        <w:rPr>
          <w:color w:val="555555"/>
          <w:sz w:val="18"/>
        </w:rPr>
        <w:t xml:space="preserve">Anfechtungsgesetz</w:t>
      </w:r>
    </w:p>
    <w:p>
      <w:r>
        <w:rPr>
          <w:color w:val="555555"/>
          <w:sz w:val="18"/>
        </w:rPr>
        <w:t xml:space="preserve">Stand: 10.06.2019 (konsolidierte Textfassung, kein amtliches Inkrafttretensdatum)</w:t>
      </w:r>
    </w:p>
    <w:p>
      <w:r>
        <w:t xml:space="preserve">(1) Wird über das Vermögen des Schuldners das Insolvenzverfahren eröffnet, so ist der Insolvenzverwalter berechtigt, die von den Insolvenzgläubigern erhobenen Anfechtungsansprüche zu verfolgen. Aus dem Erstrittenen sind dem Gläubiger die Kosten des Rechtsstreits vorweg zu erstatten.</w:t>
      </w:r>
    </w:p>
    <w:p>
      <w:r>
        <w:t xml:space="preserve">(2) Hat ein Insolvenzgläubiger bereits vor der Eröffnung des Insolvenzverfahrens auf Grund seines Anfechtungsanspruchs Sicherung oder Befriedigung erlangt, so gilt § 130 der Insolvenzordnung entsprechend.</w:t>
      </w:r>
    </w:p>
    <w:p>
      <w:r>
        <w:rPr>
          <w:color w:val="555555"/>
          <w:sz w:val="17"/>
        </w:rPr>
        <w:t xml:space="preserve">Zitiervorschlag: § 16 AnfG 1999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https://recht.nulegal.eu/gesetze/AnfG%201999/16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