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AnfG 1999 — Bestimmter Klageantrag</w:t>
      </w:r>
    </w:p>
    <w:p>
      <w:r>
        <w:rPr>
          <w:color w:val="555555"/>
          <w:sz w:val="18"/>
        </w:rPr>
        <w:t xml:space="preserve">Anfechtungsgesetz</w:t>
      </w:r>
    </w:p>
    <w:p>
      <w:r>
        <w:rPr>
          <w:color w:val="555555"/>
          <w:sz w:val="18"/>
        </w:rPr>
        <w:t xml:space="preserve">Stand: 10.06.2019 (konsolidierte Textfassung, kein amtliches Inkrafttretensdatum)</w:t>
      </w:r>
    </w:p>
    <w:p>
      <w:r>
        <w:t xml:space="preserve">Wird der Anfechtungsanspruch im Wege der Klage geltend gemacht, so hat der Klageantrag bestimmt zu bezeichnen, in welchem Umfang und in welcher Weise der Anfechtungsgegner das Erlangte zur Verfügung stellen soll.</w:t>
      </w:r>
    </w:p>
    <w:p>
      <w:r>
        <w:rPr>
          <w:color w:val="555555"/>
          <w:sz w:val="17"/>
        </w:rPr>
        <w:t xml:space="preserve">Zitiervorschlag: § 13 AnfG 1999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https://recht.nulegal.eu/gesetze/AnfG%201999/13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