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AnfG 1999 — Grundsatz</w:t>
      </w:r>
    </w:p>
    <w:p>
      <w:r>
        <w:rPr>
          <w:color w:val="555555"/>
          <w:sz w:val="18"/>
        </w:rPr>
        <w:t xml:space="preserve">Anfechtungsgesetz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Rechtshandlungen eines Schuldners, die seine Gläubiger benachteiligen, können außerhalb des Insolvenzverfahrens nach Maßgabe der folgenden Bestimmungen angefochten werden.</w:t>
      </w:r>
    </w:p>
    <w:p>
      <w:r>
        <w:t xml:space="preserve">(2) Eine Unterlassung steht einer Rechtshandlung gleich.</w:t>
      </w:r>
    </w:p>
    <w:p>
      <w:r>
        <w:rPr>
          <w:color w:val="555555"/>
          <w:sz w:val="17"/>
        </w:rPr>
        <w:t xml:space="preserve">Zitiervorschlag: § 1 AnfG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https://recht.nulegal.eu/gesetze/AnfG%201999/1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