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AnVerVO NRW (Nordrhein-Westfalen) — Inkrafttreten, Außerkrafttreten</w:t>
      </w:r>
    </w:p>
    <w:p>
      <w:r>
        <w:rPr>
          <w:color w:val="555555"/>
          <w:sz w:val="18"/>
        </w:rPr>
        <w:t xml:space="preserve">Annahme- und Vermittlungsstellenverordnung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Tag nach der Verkündung in Kraft. Sie tritt mit dem Tag außer Kraft, an dem das Ausführungsgesetz NRW Glücksspielstaatsvertrag außer Kraft tritt.</w:t>
      </w:r>
    </w:p>
    <w:p>
      <w:r>
        <w:t xml:space="preserve">Der Minister des Innern</w:t>
      </w:r>
    </w:p>
    <w:p>
      <w:r>
        <w:t xml:space="preserve">Der Minister der Finanzen</w:t>
      </w:r>
    </w:p>
    <w:p>
      <w:r>
        <w:t xml:space="preserve">Der Minister für Arbeit, Gesundheit und Soziales</w:t>
      </w:r>
    </w:p>
    <w:p>
      <w:r>
        <w:rPr>
          <w:color w:val="555555"/>
          <w:sz w:val="17"/>
        </w:rPr>
        <w:t xml:space="preserve">Zitiervorschlag: § 16 AnVerVO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https://recht.nulegal.eu/gesetze/AnVerVO%20NRW/16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