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AnFrV</w:t>
      </w:r>
    </w:p>
    <w:p>
      <w:r>
        <w:rPr>
          <w:color w:val="555555"/>
          <w:sz w:val="18"/>
        </w:rPr>
        <w:t xml:space="preserve">Antragsfristverordnung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7 Abs. 3 Satz 2 des Vermögenszuordnungsgesetzes in der Fassung der Bekanntmachung vom 29. März 1994 (BGBl. I S. 709) verordnet das Bundesministerium der Finanzen:</w:t>
      </w:r>
    </w:p>
    <w:p>
      <w:r>
        <w:rPr>
          <w:color w:val="555555"/>
          <w:sz w:val="17"/>
        </w:rPr>
        <w:t xml:space="preserve">Zitiervorschlag: Eingangsformel AnFrV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https://recht.nulegal.eu/gesetze/AnFrV/eingangsformel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