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AnFrV</w:t>
      </w:r>
    </w:p>
    <w:p>
      <w:r>
        <w:rPr>
          <w:color w:val="555555"/>
          <w:sz w:val="18"/>
        </w:rPr>
        <w:t xml:space="preserve">Antragsfristverordnung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7 Abs. 3 Satz 1 des Vermögenszuordnungsgesetzes bestimmte Frist zur Stellung von Anträgen nach § 10 des Vermögenszuordnungsgesetzes wird bis zum 31. Dezember 1994 verlängert.</w:t>
      </w:r>
    </w:p>
    <w:p>
      <w:r>
        <w:rPr>
          <w:color w:val="555555"/>
          <w:sz w:val="17"/>
        </w:rPr>
        <w:t xml:space="preserve">Zitiervorschlag: § 3 AnFrV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