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AnFöVO (Nordrhein-Westfalen) — Ziele</w:t>
      </w:r>
    </w:p>
    <w:p>
      <w:r>
        <w:rPr>
          <w:color w:val="555555"/>
          <w:sz w:val="18"/>
        </w:rPr>
        <w:t xml:space="preserve">Anerkennungs- und Förderungsverordnung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Ziele der Verordnung sind,</w:t>
      </w:r>
    </w:p>
    <w:p>
      <w:r>
        <w:t xml:space="preserve">1. durch bedarfsorientierte, qualitätsgesicherte und niedrigschwellige Hilfeangebote anspruchsberechtigte Personen darin zu unterstützen, ihre Fähigkeiten zur selbstbestimmten und selbstständigen Gestaltung des Alltags zu fördern sowie</w:t>
      </w:r>
    </w:p>
    <w:p>
      <w:r>
        <w:t xml:space="preserve">2. pflegende Angehörige und vergleichbar nahestehende Pflegepersonen in ihrer Eigenschaft als Pflegende zu unterstützen und ihnen eine Möglichkeit zur Entlastung zu eröffnen.</w:t>
      </w:r>
    </w:p>
    <w:p>
      <w:r>
        <w:rPr>
          <w:color w:val="555555"/>
          <w:sz w:val="17"/>
        </w:rPr>
        <w:t xml:space="preserve">Zitiervorschlag: § 3 AnFöVO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https://recht.nulegal.eu/gesetze/AnF%C3%B6VO/3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