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AnFöVO (Nordrhein-Westfalen) — Zielgruppen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Zielgruppen der nach dieser Verordnung anzuerkennenden beziehungsweise zu fördernden Angebote und Strukturen sind</w:t>
      </w:r>
    </w:p>
    <w:p>
      <w:r>
        <w:t xml:space="preserve">1. pflegende Angehörige und vergleichbar nahestehende Pflegepersonen in ihrer Eigenschaft als Pflegende sowie</w:t>
      </w:r>
    </w:p>
    <w:p>
      <w:r>
        <w:t xml:space="preserve">2. pflegebedürftige Personen in häuslicher Pflege.</w:t>
      </w:r>
    </w:p>
    <w:p>
      <w:r>
        <w:rPr>
          <w:color w:val="555555"/>
          <w:sz w:val="17"/>
        </w:rPr>
        <w:t xml:space="preserve">Zitiervorschlag: § 2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