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AnFöVO (Nordrhein-Westfalen) — Gebühren</w:t>
      </w:r>
    </w:p>
    <w:p>
      <w:r>
        <w:rPr>
          <w:color w:val="555555"/>
          <w:sz w:val="18"/>
        </w:rPr>
        <w:t xml:space="preserve">Anerkennungs- und Förderungsverordnung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Kreise und kreisfreien Städte sind berechtigt, für die Aufgaben, die sich aus § 12 Absatz 1 und 2, § 14 und § 15 ergeben, Gebühren zu erheben.</w:t>
      </w:r>
    </w:p>
    <w:p>
      <w:r>
        <w:rPr>
          <w:color w:val="555555"/>
          <w:sz w:val="17"/>
        </w:rPr>
        <w:t xml:space="preserve">Zitiervorschlag: § 17 AnFöVO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https://recht.nulegal.eu/gesetze/AnF%C3%B6VO/17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