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AmtszeitenRG (Brandenburg) — Inkrafttreten, Außerkrafttreten</w:t>
      </w:r>
    </w:p>
    <w:p>
      <w:r>
        <w:rPr>
          <w:color w:val="555555"/>
          <w:sz w:val="18"/>
        </w:rPr>
        <w:t xml:space="preserve">Amtszeitenregelungsgesetz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 nach der Verkündung in Kraft. Gleichzeitig tritt das Amtszeitenregelungsgesetz vom 10. Juli 2017 (GVBl. I Nr. 15) außer Kraft.</w:t>
      </w:r>
    </w:p>
    <w:p>
      <w:r>
        <w:t xml:space="preserve">Einzelnorm</w:t>
      </w:r>
    </w:p>
    <w:p>
      <w:r>
        <w:t xml:space="preserve">Potsdam, den 16. November 2017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rPr>
          <w:color w:val="555555"/>
          <w:sz w:val="17"/>
        </w:rPr>
        <w:t xml:space="preserve">Zitiervorschlag: § 3 AmtszeitenRG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https://recht.nulegal.eu/gesetze/AmtszeitenRG/3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