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AmtszeitenRG (Brandenburg) — Einschränkung von Grundrechten</w:t>
      </w:r>
    </w:p>
    <w:p>
      <w:r>
        <w:rPr>
          <w:color w:val="555555"/>
          <w:sz w:val="18"/>
        </w:rPr>
        <w:t xml:space="preserve">Amtszeitenregelungsgesetz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der Berufsfreiheit (Artikel 49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AmtszeitenRG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https://recht.nulegal.eu/gesetze/AmtszeitenRG/2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