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AmtsbezSaarAnO</w:t>
      </w:r>
    </w:p>
    <w:p>
      <w:r>
        <w:rPr>
          <w:color w:val="555555"/>
          <w:sz w:val="18"/>
        </w:rPr>
        <w:t xml:space="preserve">Anordnung über die Festsetzung von Amtsbezeichnungen für die Beamten des Bundes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37 Abs. 1 des Deutschen Beamtengesetzes in der im Saarland geltenden Fassung in Verbindung mit § 13 Abs. 4 des Gesetzes über die Eingliederung des Saarlandes vom 23. Dezember 1956 (Bundesgesetzbl. I S. 1011) ordne ich an:</w:t>
      </w:r>
    </w:p>
    <w:p>
      <w:r>
        <w:rPr>
          <w:color w:val="555555"/>
          <w:sz w:val="17"/>
        </w:rPr>
        <w:t xml:space="preserve">Zitiervorschlag: Eingangsformel AmtsbezSaarAnO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https://recht.nulegal.eu/gesetze/AmtsbezSaarAnO/eingangsformel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