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AltvPIBV — Effektiver Jahreszins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Bei Altersvorsorgeverträgen in Form eines Darlehens und bei Altersvorsorgeverträgen im Sinne des § 1 Absatz 1a Satz 1 Nummer 3 des Gesetzes sind die Gesamtkosten als jährlicher Prozentsatz des Kredits nach § 16 Absatz 1 der Preisangabenverordnung in der jeweils geltenden Fassung anzugeben. Für das Altersvorsorgevermögen, mit dem das Darlehen getilgt wird, ist der vertraglich garantierte Betrag dieses Vermögens zum voraussichtlichen Zeitpunkt der Darlehenstilgung anzusetzen.</w:t>
      </w:r>
    </w:p>
    <w:p>
      <w:r>
        <w:t xml:space="preserve">(2) In die Berechnung des Prozentsatzes sind alle Kosten für den Vertragspartner einschließlich aller auf den Vertrag zu leistenden Altersvorsorgebeiträge einzubeziehen, es sei denn, die Kosten fallen unter eine Ausnahme des § 16 Absatz 4 der Preisangabenverordnung.</w:t>
      </w:r>
    </w:p>
    <w:p>
      <w:r>
        <w:rPr>
          <w:color w:val="555555"/>
          <w:sz w:val="17"/>
        </w:rPr>
        <w:t xml:space="preserve">Zitiervorschlag: § 6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