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AltvPIBV — Chancen-Risiko-Klassen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Altersvorsorge- und Basisrentenverträge sind nach § 7 Absatz 1 Satz 2 Nummer 7 des Gesetzes in Chancen-Risiko-Klassen (CRK) einzuordnen (Klassifizierung). Dies gilt nicht für Altersvorsorgeverträge in Form eines Darlehens, Altersvorsorgeverträge im Sinne des § 1 Absatz 1a Satz 1 Nummer 3 des Gesetzes und Basisrentenverträge nach § 10 Absatz 1 Nummer 2 Buchstabe b Doppelbuchstabe bb des Einkommensteuergesetzes.</w:t>
      </w:r>
    </w:p>
    <w:p>
      <w:r>
        <w:t xml:space="preserve">(2) Die Klassifizierung erfolgt auf der Grundlage der Ergebnisse des Simulationsverfahrens nach § 3 Absatz 2 Satz 2 des Gesetzes in die CRK 1 bis 5, wobei CRK 1 die niedrigste und CRK 5 die höchste Chancen-Risiko-Klasse darstellt. Dabei ist für jede der vier Vertragslaufzeiten 12, 20, 30 und 40 Jahre eine Chancen-Risiko-Klasse zu ermitteln. Liegt eine der genannten Vertragslaufzeiten unterhalb der Mindestlaufzeit des angebotenen Tarifs, so muss für diese Vertragslaufzeit keine Chancen-Risiko-Klasse ermittelt werden. Ergibt sich nach der Ermittlung einer Chancen-Risiko-Klasse nach den Sätzen 1 und 2 und der Anwendung der weitergehenden Kriterien nach Absatz 4, dass für mindestens eine individuelle Vertragslaufzeit innerhalb der Laufzeitgruppen nach Satz 5 nicht alle Kriterien erfüllt sind, wird der Tarif in der betroffenen Laufzeitgruppe in die nächsthöhere Chancen-Risiko-Klasse eingeordnet, für die alle weitergehenden Kriterien erfüllt sind. Im Produktinformationsblatt ist bei einer geplanten Vertragslaufzeit</w:t>
      </w:r>
    </w:p>
    <w:p>
      <w:pPr>
        <w:ind w:left="420"/>
      </w:pPr>
      <w:r>
        <w:t xml:space="preserve">1. von höchstens 12 Jahren die Chancen-Risiko-Klasse auszuweisen, die für eine Vertragslaufzeit von 12 Jahren ermittelt wurde,</w:t>
      </w:r>
    </w:p>
    <w:p>
      <w:pPr>
        <w:ind w:left="420"/>
      </w:pPr>
      <w:r>
        <w:t xml:space="preserve">2. von mehr als 12 bis höchstens 20 Jahren die Chancen-Risiko-Klasse auszuweisen, die für eine Vertragslaufzeit von 20 Jahren ermittelt wurde,</w:t>
      </w:r>
    </w:p>
    <w:p>
      <w:pPr>
        <w:ind w:left="420"/>
      </w:pPr>
      <w:r>
        <w:t xml:space="preserve">3. von mehr als 20 bis höchstens 30 Jahren die Chancen-Risiko-Klasse auszuweisen, die für eine Vertragslaufzeit von 30 Jahren ermittelt wurde, und</w:t>
      </w:r>
    </w:p>
    <w:p>
      <w:pPr>
        <w:ind w:left="420"/>
      </w:pPr>
      <w:r>
        <w:t xml:space="preserve">4. von mehr als 30 Jahren die Chancen-Risiko-Klasse auszuweisen, die für eine Vertragslaufzeit von 40 Jahren ermittelt wurde.</w:t>
      </w:r>
    </w:p>
    <w:p>
      <w:r>
        <w:t xml:space="preserve">(3) Die Klassifizierung ist regelmäßig zu überprüfen. Der Anbieter kann innerhalb von sechs Monaten ab der Bekanntgabe</w:t>
      </w:r>
    </w:p>
    <w:p>
      <w:pPr>
        <w:ind w:left="420"/>
      </w:pPr>
      <w:r>
        <w:t xml:space="preserve">1. der erstmaligen Klassifizierung oder</w:t>
      </w:r>
    </w:p>
    <w:p>
      <w:pPr>
        <w:ind w:left="420"/>
      </w:pPr>
      <w:r>
        <w:t xml:space="preserve">2. des Ergebnisses der Überprüfung</w:t>
      </w:r>
    </w:p>
    <w:p>
      <w:r>
        <w:t xml:space="preserve">den Verzicht auf weitere Überprüfungen nach Satz 1 beantragen, wenn er bei Stellung des Verzichtsantrags einen Zeitpunkt innerhalb von zwölf Monaten ab dem Zeitpunkt nach Nummer 1 oder Nummer 2 festlegt, ab dem auf der Basis der Klassifizierung keine neuen zertifizierten Altersvorsorge- und Basisrentenverträge vertrieben werden.</w:t>
      </w:r>
    </w:p>
    <w:p>
      <w:r>
        <w:t xml:space="preserve">(4) Die für die Klassifizierung anzuwendenden weitergehenden Kriterien sowie der im Produktinformationsblatt zu verwendende Beschreibungstext der Chancen-Risiko-Klassen sind Bestandteil der Festlegung des Simulationsverfahrens. Die Kriterien und der Beschreibungstext werden mindestens auf den Internetseiten der Produktinformationsstelle Altersvorsorge veröffentlicht.</w:t>
      </w:r>
    </w:p>
    <w:p>
      <w:r>
        <w:rPr>
          <w:color w:val="555555"/>
          <w:sz w:val="17"/>
        </w:rPr>
        <w:t xml:space="preserve">Zitiervorschlag: § 5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