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AltvPIBV — Produkttyp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Benennung des Produkttyps nach § 7 Absatz 1 Satz 2 Nummer 2 des Gesetzes dürfen folgende Bezeichnungen verwendet werden:</w:t>
      </w:r>
    </w:p>
    <w:p>
      <w:pPr>
        <w:ind w:left="420"/>
      </w:pPr>
      <w:r>
        <w:t xml:space="preserve">1. Rentenversicherung,</w:t>
      </w:r>
    </w:p>
    <w:p>
      <w:pPr>
        <w:ind w:left="420"/>
      </w:pPr>
      <w:r>
        <w:t xml:space="preserve">2. Fondssparplan,</w:t>
      </w:r>
    </w:p>
    <w:p>
      <w:pPr>
        <w:ind w:left="420"/>
      </w:pPr>
      <w:r>
        <w:t xml:space="preserve">3. Banksparplan,</w:t>
      </w:r>
    </w:p>
    <w:p>
      <w:pPr>
        <w:ind w:left="420"/>
      </w:pPr>
      <w:r>
        <w:t xml:space="preserve">4. Bausparvertrag,</w:t>
      </w:r>
    </w:p>
    <w:p>
      <w:pPr>
        <w:ind w:left="420"/>
      </w:pPr>
      <w:r>
        <w:t xml:space="preserve">5. Genossenschaftsanteile,</w:t>
      </w:r>
    </w:p>
    <w:p>
      <w:pPr>
        <w:ind w:left="420"/>
      </w:pPr>
      <w:r>
        <w:t xml:space="preserve">6. Darlehen,</w:t>
      </w:r>
    </w:p>
    <w:p>
      <w:pPr>
        <w:ind w:left="420"/>
      </w:pPr>
      <w:r>
        <w:t xml:space="preserve">7. vor- oder zwischenfinanzierter Bausparvertrag,</w:t>
      </w:r>
    </w:p>
    <w:p>
      <w:pPr>
        <w:ind w:left="420"/>
      </w:pPr>
      <w:r>
        <w:t xml:space="preserve">8. Erwerbsminderungsversicherung oder</w:t>
      </w:r>
    </w:p>
    <w:p>
      <w:pPr>
        <w:ind w:left="420"/>
      </w:pPr>
      <w:r>
        <w:t xml:space="preserve">9. Berufsunfähigkeitsversicherung.</w:t>
      </w:r>
    </w:p>
    <w:p>
      <w:r>
        <w:t xml:space="preserve">Bei Altersvorsorgeverträgen im Sinne des § 1 Absatz 1a Satz 1 Nummer 3 des Gesetzes, die keine vor- oder zwischenfinanzierten Bausparverträge sind, ist das jeweilige Ansparprodukt mit dem Zusatz „mit Darlehen“ zu bezeichnen.</w:t>
      </w:r>
    </w:p>
    <w:p>
      <w:r>
        <w:t xml:space="preserve">(2) Zusätzlich zur Bezeichnung ist die Förderart durch ein Logo darzustellen. Beim Logo sind als Förderarten zu unterscheiden:</w:t>
      </w:r>
    </w:p>
    <w:p>
      <w:pPr>
        <w:ind w:left="420"/>
      </w:pPr>
      <w:r>
        <w:t xml:space="preserve">1. Riester-Rente,</w:t>
      </w:r>
    </w:p>
    <w:p>
      <w:pPr>
        <w:ind w:left="420"/>
      </w:pPr>
      <w:r>
        <w:t xml:space="preserve">2. Wohn-Riester,</w:t>
      </w:r>
    </w:p>
    <w:p>
      <w:pPr>
        <w:ind w:left="420"/>
      </w:pPr>
      <w:r>
        <w:t xml:space="preserve">3. Basisrente-Alter,</w:t>
      </w:r>
    </w:p>
    <w:p>
      <w:pPr>
        <w:ind w:left="420"/>
      </w:pPr>
      <w:r>
        <w:t xml:space="preserve">4. Basisrente-Erwerbsminderung.</w:t>
      </w:r>
    </w:p>
    <w:p>
      <w:r>
        <w:rPr>
          <w:color w:val="555555"/>
          <w:sz w:val="17"/>
        </w:rPr>
        <w:t xml:space="preserve">Zitiervorschlag: § 2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