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AltvPIBV — Berechnungen für die Information vor der Auszahlungsphase des Altersvorsorgevertrags</w:t>
      </w:r>
    </w:p>
    <w:p>
      <w:r>
        <w:rPr>
          <w:color w:val="555555"/>
          <w:sz w:val="18"/>
        </w:rPr>
        <w:t xml:space="preserve">Altersvorsorge-Produktinformationsblattverordnung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Den Berechnungen für die Angaben nach § 15 sind folgende Werte zugrunde zu legen:</w:t>
      </w:r>
    </w:p>
    <w:p>
      <w:pPr>
        <w:ind w:left="420"/>
      </w:pPr>
      <w:r>
        <w:t xml:space="preserve">1. die Summe der bis zum Tag der Erstellung der Information dem Vertrag gutgeschriebenen Einzahlungen und Zulagen sowie die darauf entfallenden Erträge und Wertsteigerungen,</w:t>
      </w:r>
    </w:p>
    <w:p>
      <w:pPr>
        <w:ind w:left="420"/>
      </w:pPr>
      <w:r>
        <w:t xml:space="preserve">2. die Summe der bis zum Beginn der Auszahlungsphase erwarteten Einzahlungen und Zulagen sowie die darauf entfallenden angenommenen Erträge und Wertsteigerungen,</w:t>
      </w:r>
    </w:p>
    <w:p>
      <w:pPr>
        <w:ind w:left="420"/>
      </w:pPr>
      <w:r>
        <w:t xml:space="preserve">3. die Beitragszusage nach § 1 Absatz 1 Satz 1 Nummer 3 des Gesetzes sowie weitere Leistungsversprechen und</w:t>
      </w:r>
    </w:p>
    <w:p>
      <w:pPr>
        <w:ind w:left="420"/>
      </w:pPr>
      <w:r>
        <w:t xml:space="preserve">4. alle für den Vertrag bis zum Beginn der Auszahlungsphase erwarteten anfallenden Kosten.</w:t>
      </w:r>
    </w:p>
    <w:p>
      <w:r>
        <w:t xml:space="preserve">(2) Die Beträge nach § 15 Nummer 2, 3, 6 und 7 sind in Euro anzugeben.</w:t>
      </w:r>
    </w:p>
    <w:p>
      <w:r>
        <w:t xml:space="preserve">(3) Abweichungen beim garantierten Kapital und bei der garantierten monatlichen Leistung zu Beginn der Auszahlungsphase von den Angaben nach § 15 Nummer 2 und 3 sind zulasten des Vertragspartners nur zulässig, sofern sie auf folgenden Gründen beruhen:</w:t>
      </w:r>
    </w:p>
    <w:p>
      <w:pPr>
        <w:ind w:left="420"/>
      </w:pPr>
      <w:r>
        <w:t xml:space="preserve">1. gesetzlichen Änderungen,</w:t>
      </w:r>
    </w:p>
    <w:p>
      <w:pPr>
        <w:ind w:left="420"/>
      </w:pPr>
      <w:r>
        <w:t xml:space="preserve">2. höchstrichterlicher Rechtsprechung oder</w:t>
      </w:r>
    </w:p>
    <w:p>
      <w:pPr>
        <w:ind w:left="420"/>
      </w:pPr>
      <w:r>
        <w:t xml:space="preserve">3. Änderungen, die die Höhe der erwarteten Einzahlungen und Zulagen oder den Beginn der Auszahlungsphase betreffen.</w:t>
      </w:r>
    </w:p>
    <w:p>
      <w:r>
        <w:t xml:space="preserve">Weicht der tatsächliche Wert zu Beginn der Auszahlungsphase von der Angabe nach § 15 Nummer 6 ab, ist dies nur zulässig, sofern die Abweichung auf Gründen nach Satz 1 beruht oder sofern Wertsteigerungen, Erträge oder Bewertungsreserven von der Höhe abweichen, die zum Zeitpunkt der Erstellung der Information erwartet wurde.</w:t>
      </w:r>
    </w:p>
    <w:p>
      <w:r>
        <w:t xml:space="preserve">(4) Bei Verträgen, die ab dem in § 14 Absatz 6 Satz 2 des Gesetzes genannten Anwendungszeitpunkt abgeschlossen worden sind, ist für die Angabe der in der Auszahlungsphase anfallenden Kosten nach § 7b Absatz 1 Satz 1 Nummer 2 des Gesetzes eine Aufstellung der Kosten nach § 2a des Gesetzes getrennt für jeden Gliederungspunkt vorzusehen.</w:t>
      </w:r>
    </w:p>
    <w:p>
      <w:r>
        <w:rPr>
          <w:color w:val="555555"/>
          <w:sz w:val="17"/>
        </w:rPr>
        <w:t xml:space="preserve">Zitiervorschlag: § 16 AltvPIBV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https://recht.nulegal.eu/gesetze/AltvPIBV/16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