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AltvPIBV — Information vor der Auszahlungsphase des Altersvorsorgevertrags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Anbieter hat den Vertragspartner nach Maßgabe des § 7b Absatz 1 Satz 1 Nummer 1 des Gesetzes über Folgendes schriftlich zu informieren:</w:t>
      </w:r>
    </w:p>
    <w:p>
      <w:pPr>
        <w:ind w:left="420"/>
      </w:pPr>
      <w:r>
        <w:t xml:space="preserve">1. das Datum des Beginns der Auszahlungsphase sowie das Alter des Vertragspartners zu diesem Zeitpunkt in Jahren und gegebenenfalls Monaten,</w:t>
      </w:r>
    </w:p>
    <w:p>
      <w:pPr>
        <w:ind w:left="420"/>
      </w:pPr>
      <w:r>
        <w:t xml:space="preserve">2. das garantierte Kapital zu Beginn der Auszahlungsphase,</w:t>
      </w:r>
    </w:p>
    <w:p>
      <w:pPr>
        <w:ind w:left="420"/>
      </w:pPr>
      <w:r>
        <w:t xml:space="preserve">3. die garantierte monatliche Leistung zu Beginn der Auszahlungsphase,</w:t>
      </w:r>
    </w:p>
    <w:p>
      <w:pPr>
        <w:ind w:left="420"/>
      </w:pPr>
      <w:r>
        <w:t xml:space="preserve">4. die Form der Auszahlung,</w:t>
      </w:r>
    </w:p>
    <w:p>
      <w:pPr>
        <w:ind w:left="420"/>
      </w:pPr>
      <w:r>
        <w:t xml:space="preserve">5. ob und wie eine Dynamisierung der monatlichen Leistungen erfolgt,</w:t>
      </w:r>
    </w:p>
    <w:p>
      <w:pPr>
        <w:ind w:left="420"/>
      </w:pPr>
      <w:r>
        <w:t xml:space="preserve">6. die angenommene monatliche Leistung zu Beginn der Auszahlungsphase nach Abzug der Kosten,</w:t>
      </w:r>
    </w:p>
    <w:p>
      <w:pPr>
        <w:ind w:left="420"/>
      </w:pPr>
      <w:r>
        <w:t xml:space="preserve">7. die Höhe der Prämie für eine Verrentung nach Beginn der Auszahlungsphase.</w:t>
      </w:r>
    </w:p>
    <w:p>
      <w:r>
        <w:rPr>
          <w:color w:val="555555"/>
          <w:sz w:val="17"/>
        </w:rPr>
        <w:t xml:space="preserve">Zitiervorschlag: § 15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