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AltvPIBV — Muster-Produktinformationsblatt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Muster-Produktinformationsblatt sind statt der individuellen Werte nach § 7 Absatz 4 des Gesetzes die folgenden Annahmen zugrunde zu legen:</w:t>
      </w:r>
    </w:p>
    <w:p>
      <w:pPr>
        <w:ind w:left="420"/>
      </w:pPr>
      <w:r>
        <w:t xml:space="preserve">1. eine Vertragslaufzeit von 12, 20, 30 und 40 Jahren mit einem Vertragsbeginn am 1. Januar,</w:t>
      </w:r>
    </w:p>
    <w:p>
      <w:pPr>
        <w:ind w:left="420"/>
      </w:pPr>
      <w:r>
        <w:t xml:space="preserve">2. ein Beginn der Auszahlungsphase mit Vollendung des 67. Lebensjahres sowie</w:t>
      </w:r>
    </w:p>
    <w:p>
      <w:pPr>
        <w:ind w:left="420"/>
      </w:pPr>
      <w:r>
        <w:t xml:space="preserve">3. bei Basisrentenverträgen eine monatliche Beitragszahlung von 100 Euro und bei Altersvorsorgeverträgen folgende Beträge:</w:t>
      </w:r>
    </w:p>
    <w:p>
      <w:pPr>
        <w:ind w:left="780"/>
      </w:pPr>
      <w:r>
        <w:t xml:space="preserve">a) eine monatliche Beitragszahlung oder Tilgungsleistung in Höhe von einem Zwölftel der Differenz aus 1 200 Euro und der Grundzulage nach § 84 Satz 1 des Einkommensteuergesetzes, wobei das Ergebnis auf volle Euro zu runden ist, und</w:t>
      </w:r>
    </w:p>
    <w:p>
      <w:pPr>
        <w:ind w:left="780"/>
      </w:pPr>
      <w:r>
        <w:t xml:space="preserve">b) eine jährliche Grundzulage nach § 84 Satz 1 des Einkommensteuergesetzes, die am 15. Mai nach dem Beitragsjahr gezahlt wird;</w:t>
      </w:r>
    </w:p>
    <w:p>
      <w:pPr>
        <w:ind w:left="420"/>
      </w:pPr>
      <w:r>
        <w:t xml:space="preserve">Zulagen, die nach dem Beginn der Auszahlungsphase zufließen, bleiben unberücksichtigt.</w:t>
      </w:r>
    </w:p>
    <w:p>
      <w:r>
        <w:t xml:space="preserve">Lässt der Altersvorsorge- oder Basisrentenvertrag in der Ansparphase ausschließlich eine Einmalbeitragszahlung und keine laufende Zahlung zu, so sind statt der monatlichen Beitragszahlungen nach Satz 1 Nummer 3 folgende Annahmen zugrunde zu legen:</w:t>
      </w:r>
    </w:p>
    <w:p>
      <w:pPr>
        <w:ind w:left="420"/>
      </w:pPr>
      <w:r>
        <w:t xml:space="preserve">1. bei einer Vertragslaufzeit von 12 Jahren ein Einmalbeitrag von 14 400 Euro,</w:t>
      </w:r>
    </w:p>
    <w:p>
      <w:pPr>
        <w:ind w:left="420"/>
      </w:pPr>
      <w:r>
        <w:t xml:space="preserve">2. bei einer Vertragslaufzeit von 20 Jahren ein Einmalbeitrag von 24 000 Euro,</w:t>
      </w:r>
    </w:p>
    <w:p>
      <w:pPr>
        <w:ind w:left="420"/>
      </w:pPr>
      <w:r>
        <w:t xml:space="preserve">3. bei einer Vertragslaufzeit von 30 Jahren ein Einmalbeitrag von 36 000 Euro und</w:t>
      </w:r>
    </w:p>
    <w:p>
      <w:pPr>
        <w:ind w:left="420"/>
      </w:pPr>
      <w:r>
        <w:t xml:space="preserve">4. bei einer Vertragslaufzeit von 40 Jahren ein Einmalbeitrag von 48 000 Euro.</w:t>
      </w:r>
    </w:p>
    <w:p>
      <w:r>
        <w:t xml:space="preserve">Bei Altersvorsorgeverträgen ist zusätzlich eine einmalig gezahlte Grundzulage nach § 84 Satz 1 des Einkommensteuergesetzes, die am 15. Mai nach dem Beitragsjahr gezahlt wird, anzunehmen.</w:t>
      </w:r>
    </w:p>
    <w:p>
      <w:r>
        <w:t xml:space="preserve">(2) Für Laufzeiten unterhalb der Mindestlaufzeit des angebotenen Tarifs muss kein Muster-Produktinformationsblatt erstellt werden. In den verbleibenden Muster-Produktinformationsblättern für diesen Tarif ist auf die Mindestlaufzeit und die dadurch bedingte Nichterstellung des betreffenden Muster-Produktinformationsblatts hinzuweisen.</w:t>
      </w:r>
    </w:p>
    <w:p>
      <w:r>
        <w:rPr>
          <w:color w:val="555555"/>
          <w:sz w:val="17"/>
        </w:rPr>
        <w:t xml:space="preserve">Zitiervorschlag: § 14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