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AltvPIBV — Informationen zum Anbieterwechsel und zur Kündigung des Vertrags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Anbieterwechsel und zur Kündigung des Vertrags nach § 7 Absatz 1 Satz 2 Nummer 13 des Gesetzes sind folgende Informationen zu geben:</w:t>
      </w:r>
    </w:p>
    <w:p>
      <w:pPr>
        <w:ind w:left="420"/>
      </w:pPr>
      <w:r>
        <w:t xml:space="preserve">1. die Wechselkosten,</w:t>
      </w:r>
    </w:p>
    <w:p>
      <w:pPr>
        <w:ind w:left="420"/>
      </w:pPr>
      <w:r>
        <w:t xml:space="preserve">2. jeweils für eine Vertragsdauer von 1, 5, 12, 20 und 30 Jahren, jedoch längstens bis zum Beginn der Auszahlungsphase</w:t>
      </w:r>
    </w:p>
    <w:p>
      <w:pPr>
        <w:ind w:left="780"/>
      </w:pPr>
      <w:r>
        <w:t xml:space="preserve">a) die Summe der geplanten Beiträge und Zulagen,</w:t>
      </w:r>
    </w:p>
    <w:p>
      <w:pPr>
        <w:ind w:left="780"/>
      </w:pPr>
      <w:r>
        <w:t xml:space="preserve">b) der Übertragungs- oder Auszahlungswert nach Minderung durch Kosten bei einer Wertentwicklung nach § 10 Absatz 1,</w:t>
      </w:r>
    </w:p>
    <w:p>
      <w:pPr>
        <w:ind w:left="780"/>
      </w:pPr>
      <w:r>
        <w:t xml:space="preserve">c) das Verhältnis der unter den Buchstaben b und a genannten Werte zueinander in Prozent,</w:t>
      </w:r>
    </w:p>
    <w:p>
      <w:pPr>
        <w:ind w:left="420"/>
      </w:pPr>
      <w:r>
        <w:t xml:space="preserve">3. ein Hinweis darauf, dass beim neuen Anbieter möglicherweise erneut Abschluss- und Vertriebskosten anfallen,</w:t>
      </w:r>
    </w:p>
    <w:p>
      <w:pPr>
        <w:ind w:left="420"/>
      </w:pPr>
      <w:r>
        <w:t xml:space="preserve">4. bei Altersvorsorgeverträgen ein Hinweis darauf, dass bei einer Kündigung mit Auszahlung die bisher gewährte Förderung zurückgezahlt werden muss, soweit keine wohnungswirtschaftliche Verwendung im Sinne des § 92a Absatz 1 Satz 1 des Einkommensteuergesetzes erfolgt.</w:t>
      </w:r>
    </w:p>
    <w:p>
      <w:r>
        <w:t xml:space="preserve">(2) Besteht ein Kündigungsrecht mit Auszahlungsmöglichkeit und ist der Wert nach Absatz 1 Nummer 2 Buchstabe b bei einer solchen Kündigung des Vertrags geringer als bei einem Anbieterwechsel, so ist dieser Wert anzugeben, andernfalls der Wert bei einem Anbieterwechsel.</w:t>
      </w:r>
    </w:p>
    <w:p>
      <w:r>
        <w:t xml:space="preserve">(3) Ist bei Basisrentenverträgen oder bei Altersvorsorgeverträgen nach § 1 Absatz 1a des Gesetzes ein Anbieterwechsel ausgeschlossen, so ist darauf hinzuweisen. In diesem Fall müssen die Informationen nach Absatz 1 nicht gegeben werden.</w:t>
      </w:r>
    </w:p>
    <w:p>
      <w:r>
        <w:rPr>
          <w:color w:val="555555"/>
          <w:sz w:val="17"/>
        </w:rPr>
        <w:t xml:space="preserve">Zitiervorschlag: § 11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