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AltvDV — Mitteilungspflichten des Arbeitgebers</w:t>
      </w:r>
    </w:p>
    <w:p>
      <w:r>
        <w:rPr>
          <w:color w:val="555555"/>
          <w:sz w:val="18"/>
        </w:rPr>
        <w:t xml:space="preserve">Altersvorsorge-Durchführungsverordnung</w:t>
      </w:r>
    </w:p>
    <w:p>
      <w:r>
        <w:rPr>
          <w:color w:val="555555"/>
          <w:sz w:val="18"/>
        </w:rPr>
        <w:t xml:space="preserve">Stand: 10.06.2019 (konsolidierte Textfassung, kein amtliches Inkrafttretensdatum)</w:t>
      </w:r>
    </w:p>
    <w:p>
      <w:r>
        <w:t xml:space="preserve">(1) Der Arbeitgeber hat der Versorgungseinrichtung (Pensionsfonds, Pensionskasse, Direktversicherung), die für ihn die betriebliche Altersversorgung durchführt, spätestens zwei Monate nach Ablauf des Kalenderjahres oder nach Beendigung des Dienstverhältnisses im Laufe des Kalenderjahres mitzuteilen, in welcher Höhe die für den einzelnen Arbeitnehmer geleisteten Beiträge individuell besteuert wurden. Die Mitteilungspflicht des Arbeitgebers kann durch einen Auftragnehmer wahrgenommen werden.</w:t>
      </w:r>
    </w:p>
    <w:p>
      <w:r>
        <w:t xml:space="preserve">(2) Eine Mitteilung nach Absatz 1 kann unterbleiben, wenn die Versorgungseinrichtung dem Arbeitgeber mitgeteilt hat, dass</w:t>
      </w:r>
    </w:p>
    <w:p>
      <w:pPr>
        <w:ind w:left="420"/>
      </w:pPr>
      <w:r>
        <w:t xml:space="preserve">1. sie die Höhe der individuell besteuerten Beiträge bereits kennt oder aus den bei ihr vorhandenen Daten feststellen kann oder</w:t>
      </w:r>
    </w:p>
    <w:p>
      <w:pPr>
        <w:ind w:left="420"/>
      </w:pPr>
      <w:r>
        <w:t xml:space="preserve">2. eine Förderung nach § 10a oder Abschnitt XI des Einkommensteuergesetzes nicht möglich ist.</w:t>
      </w:r>
    </w:p>
    <w:p>
      <w:r>
        <w:t xml:space="preserve">(3) Der Arbeitnehmer kann gegenüber der Versorgungseinrichtung für die individuell besteuerten Beiträge insgesamt auf die Förderung nach § 10a oder Abschnitt XI des Einkommensteuergesetzes verzichten; der Verzicht kann für die Zukunft widerrufen werden.</w:t>
      </w:r>
    </w:p>
    <w:p>
      <w:r>
        <w:t xml:space="preserve">(4) Soweit eine Mitteilung nach Absatz 1 unterblieben ist und die Voraussetzungen des Absatzes 2 Nr. 1 nicht vorliegen oder der Arbeitnehmer nach Absatz 3 verzichtet hat, hat die Versorgungseinrichtung davon auszugehen, dass es sich nicht um Altersvorsorgebeiträge im Sinne des § 82 Abs. 2 des Einkommensteuergesetzes handelt.</w:t>
      </w:r>
    </w:p>
    <w:p>
      <w:r>
        <w:rPr>
          <w:color w:val="555555"/>
          <w:sz w:val="17"/>
        </w:rPr>
        <w:t xml:space="preserve">Zitiervorschlag: § 6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