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AltvDV — Verfahren der Datenübermittlung, Schnittstellen</w:t>
      </w:r>
    </w:p>
    <w:p>
      <w:r>
        <w:rPr>
          <w:color w:val="555555"/>
          <w:sz w:val="18"/>
        </w:rPr>
        <w:t xml:space="preserve">Altersvorsorge-Durchführungsverordnung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Übermittlung der Datensätze hat durch Datenfernübertragung zu erfolgen.</w:t>
      </w:r>
    </w:p>
    <w:p>
      <w:r>
        <w:t xml:space="preserve">(1a) Bei der elektronischen Übermittlung sind die für den jeweiligen Besteuerungszeitraum oder -zeitpunkt bestimmten Schnittstellen ordnungsgemäß zu bedienen. Die für die Datenübermittlung erforderlichen Schnittstellen und die dazugehörige Dokumentation werden über das Internet in einem geschützten Bereich der zentralen Stelle zur Verfügung gestellt.</w:t>
      </w:r>
    </w:p>
    <w:p>
      <w:r>
        <w:t xml:space="preserve">(2) Werden Mängel festgestellt, die eine ordnungsgemäße Übernahme der Daten beeinträchtigen, kann die Übernahme der Daten abgelehnt werden. Der Absender ist über die Mängel zu unterrichten.</w:t>
      </w:r>
    </w:p>
    <w:p>
      <w:r>
        <w:t xml:space="preserve">(3) Die technischen Einrichtungen für die Datenübermittlung stellt jede übermittelnde Stelle für ihren Bereich bereit.</w:t>
      </w:r>
    </w:p>
    <w:p>
      <w:r>
        <w:rPr>
          <w:color w:val="555555"/>
          <w:sz w:val="17"/>
        </w:rPr>
        <w:t xml:space="preserve">Zitiervorschlag: § 3 AltvDV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