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AltvDV — Mitteilungspflichten nach § 10 Absatz 4b des Einkommensteuergesetzes</w:t>
      </w:r>
    </w:p>
    <w:p>
      <w:r>
        <w:rPr>
          <w:color w:val="555555"/>
          <w:sz w:val="18"/>
        </w:rPr>
        <w:t xml:space="preserve">Altersvorsorge-Durchführungsverordnung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10 Absatz 4b Satz 4 des Einkommensteuergesetzes genannten mitteilungspflichtigen Stellen haben der zentralen Stelle folgende Daten zu übermitteln:</w:t>
      </w:r>
    </w:p>
    <w:p>
      <w:pPr>
        <w:ind w:left="420"/>
      </w:pPr>
      <w:r>
        <w:t xml:space="preserve">1. die Höhe der im jeweiligen Zahlungsjahr geleisteten und zurückgeforderten steuerfreien Zuschüsse und der erstatteten Vorsorgeaufwendungen, jeweils gesondert betragsmäßig nach Art der Vorsorgeaufwendungen ausgewiesen,</w:t>
      </w:r>
    </w:p>
    <w:p>
      <w:pPr>
        <w:ind w:left="420"/>
      </w:pPr>
      <w:r>
        <w:t xml:space="preserve">2. den Beginn und das Ende des Zeitraums, für den der steuerfreie Zuschuss und die Erstattung der Vorsorgeaufwendungen erfolgt sind, und</w:t>
      </w:r>
    </w:p>
    <w:p>
      <w:pPr>
        <w:ind w:left="420"/>
      </w:pPr>
      <w:r>
        <w:t xml:space="preserve">3. das Jahr des Zuflusses oder Abflusses.</w:t>
      </w:r>
    </w:p>
    <w:p>
      <w:r>
        <w:t xml:space="preserve">Eine Mitteilungspflicht nach Satz 1 besteht nicht, wenn die mitteilungspflichtige Stelle der Finanzverwaltung die Zahlung der geleisteten und zurückgeforderten steuerfreien Zuschüsse und der erstatteten Vorsorgeaufwendungen bereits auf Grund anderer Vorschriften elektronisch mitzuteilen hat.</w:t>
      </w:r>
    </w:p>
    <w:p>
      <w:r>
        <w:rPr>
          <w:color w:val="555555"/>
          <w:sz w:val="17"/>
        </w:rPr>
        <w:t xml:space="preserve">Zitiervorschlag: § 24 AltvDV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https://recht.nulegal.eu/gesetze/AltvDV/24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