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AltvDV — Erprobung des Verfahrens</w:t>
      </w:r>
    </w:p>
    <w:p>
      <w:r>
        <w:rPr>
          <w:color w:val="555555"/>
          <w:sz w:val="18"/>
        </w:rPr>
        <w:t xml:space="preserve">Altersvorsorge-Durchführungsverordnung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zentrale Stelle kann bei den mitteilungspflichtigen Stellen Daten nach § 22a Abs. 1 Satz 1 des Einkommensteuergesetzes erheben zum Zweck der Erprobung</w:t>
      </w:r>
    </w:p>
    <w:p>
      <w:pPr>
        <w:ind w:left="420"/>
      </w:pPr>
      <w:r>
        <w:t xml:space="preserve">1. des Verfahrens der Datenübermittlung von den mitteilungspflichtigen Stellen an die zentrale Stelle,</w:t>
      </w:r>
    </w:p>
    <w:p>
      <w:pPr>
        <w:ind w:left="420"/>
      </w:pPr>
      <w:r>
        <w:t xml:space="preserve">2. der bei der zentralen Stelle einzusetzenden Programme,</w:t>
      </w:r>
    </w:p>
    <w:p>
      <w:pPr>
        <w:ind w:left="420"/>
      </w:pPr>
      <w:r>
        <w:t xml:space="preserve">3. der Weiterleitung an die Finanzverwaltung und</w:t>
      </w:r>
    </w:p>
    <w:p>
      <w:pPr>
        <w:ind w:left="420"/>
      </w:pPr>
      <w:r>
        <w:t xml:space="preserve">4. der Weiterverarbeitung der Daten in der Finanzverwaltung.</w:t>
      </w:r>
    </w:p>
    <w:p>
      <w:r>
        <w:t xml:space="preserve">(2) Das Bundeszentralamt für Steuern kann bei den mitteilungspflichtigen Stellen Daten nach § 22a Abs. 2 Satz 3 des Einkommensteuergesetzes in Verbindung mit § 139b Abs. 3 der Abgabenordnung erheben zum Zweck der Erprobung</w:t>
      </w:r>
    </w:p>
    <w:p>
      <w:pPr>
        <w:ind w:left="420"/>
      </w:pPr>
      <w:r>
        <w:t xml:space="preserve">1. des Verfahrens der Datenübermittlung von den mitteilungspflichtigen Stellen an das Bundeszentralamt für Steuern,</w:t>
      </w:r>
    </w:p>
    <w:p>
      <w:pPr>
        <w:ind w:left="420"/>
      </w:pPr>
      <w:r>
        <w:t xml:space="preserve">2. des Verfahrens der Datenübermittlung von dem Bundeszentralamt für Steuern an die mitteilungspflichtigen Stellen,</w:t>
      </w:r>
    </w:p>
    <w:p>
      <w:pPr>
        <w:ind w:left="420"/>
      </w:pPr>
      <w:r>
        <w:t xml:space="preserve">3. der vom Bundeszentralamt für Steuern und der zentralen Stelle einzusetzenden Programme, mit denen den mitteilungspflichtigen Stellen die Daten zur Verfügung gestellt werden.</w:t>
      </w:r>
    </w:p>
    <w:p>
      <w:r>
        <w:t xml:space="preserve">(3) Die Datenübermittlung erfolgt durch Datenfernübertragung; § 4 Abs. 1 gilt entsprechend.</w:t>
      </w:r>
    </w:p>
    <w:p>
      <w:r>
        <w:t xml:space="preserve">(4) Die Daten dürfen nur für die in den Absätzen 1 und 2 genannten Zwecke verwendet werden. Sie sind unmittelbar nach Beendigung der Erprobung, spätestens am 31. Dezember 2009, zu löschen.</w:t>
      </w:r>
    </w:p>
    <w:p>
      <w:r>
        <w:rPr>
          <w:color w:val="555555"/>
          <w:sz w:val="17"/>
        </w:rPr>
        <w:t xml:space="preserve">Zitiervorschlag: § 21 AltvDV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https://recht.nulegal.eu/gesetze/AltvDV/21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