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AltvDV — Aufzeichnungs- und Aufbewahrungspflichten</w:t>
      </w:r>
    </w:p>
    <w:p>
      <w:r>
        <w:rPr>
          <w:color w:val="555555"/>
          <w:sz w:val="18"/>
        </w:rPr>
        <w:t xml:space="preserve">Altersvorsorge-Durchführungsverordnung</w:t>
      </w:r>
    </w:p>
    <w:p>
      <w:r>
        <w:rPr>
          <w:color w:val="555555"/>
          <w:sz w:val="18"/>
        </w:rPr>
        <w:t xml:space="preserve">Stand: 10.06.2019 (konsolidierte Textfassung, kein amtliches Inkrafttretensdatum)</w:t>
      </w:r>
    </w:p>
    <w:p>
      <w:r>
        <w:t xml:space="preserve">(1) Der Anbieter nach § 1 Abs. 2 des Altersvorsorgeverträge-Zertifizierungsgesetzes hat für jedes Kalenderjahr Aufzeichnungen zu führen über</w:t>
      </w:r>
    </w:p>
    <w:p>
      <w:pPr>
        <w:ind w:left="420"/>
      </w:pPr>
      <w:r>
        <w:t xml:space="preserve">1. Name und Anschrift des Anlegers,</w:t>
      </w:r>
    </w:p>
    <w:p>
      <w:pPr>
        <w:ind w:left="420"/>
      </w:pPr>
      <w:r>
        <w:t xml:space="preserve">2. Vertragsnummer und Vertragsdatum,</w:t>
      </w:r>
    </w:p>
    <w:p>
      <w:pPr>
        <w:ind w:left="420"/>
      </w:pPr>
      <w:r>
        <w:t xml:space="preserve">3. Altersvorsorgebeiträge, auf die § 10a oder Abschnitt XI des Einkommensteuergesetzes angewendet wurde,</w:t>
      </w:r>
    </w:p>
    <w:p>
      <w:pPr>
        <w:ind w:left="420"/>
      </w:pPr>
      <w:r>
        <w:t xml:space="preserve">4. dem Vertrag gutgeschriebene Zulagen,</w:t>
      </w:r>
    </w:p>
    <w:p>
      <w:pPr>
        <w:ind w:left="420"/>
      </w:pPr>
      <w:r>
        <w:t xml:space="preserve">5. dem Vertrag insgesamt gutgeschriebene Erträge,</w:t>
      </w:r>
    </w:p>
    <w:p>
      <w:pPr>
        <w:ind w:left="420"/>
      </w:pPr>
      <w:r>
        <w:t xml:space="preserve">6. Beiträge, auf die § 10a oder Abschnitt XI des Einkommensteuergesetzes nicht angewendet wurde,</w:t>
      </w:r>
    </w:p>
    <w:p>
      <w:pPr>
        <w:ind w:left="420"/>
      </w:pPr>
      <w:r>
        <w:t xml:space="preserve">7. Beiträge und Zulagen, die zur Absicherung der verminderten Erwerbsfähigkeit verwendet wurden,</w:t>
      </w:r>
    </w:p>
    <w:p>
      <w:pPr>
        <w:ind w:left="420"/>
      </w:pPr>
      <w:r>
        <w:t xml:space="preserve">8. Beiträge und Zulagen, die zur Hinterbliebenenabsicherung im Sinne des § 1 Abs. 1 Satz 1 Nr. 2 des Altersvorsorgeverträge-Zertifizierungsgesetzes oder § 1 Abs. 1 Satz 1 Nr. 6 des Altersvorsorgeverträge-Zertifizierungsgesetzes in der bis zum 31. Dezember 2004 geltenden Fassung verwendet wurden, und</w:t>
      </w:r>
    </w:p>
    <w:p>
      <w:pPr>
        <w:ind w:left="420"/>
      </w:pPr>
      <w:r>
        <w:t xml:space="preserve">9. die im Wohnförderkonto (§ 92a Abs. 2 Satz 1 des Einkommensteuergesetzes) zu berücksichtigenden Beträge.</w:t>
      </w:r>
    </w:p>
    <w:p>
      <w:r>
        <w:t xml:space="preserve">Werden zugunsten des Altersvorsorgevertrags auch nicht geförderte Beiträge geleistet, sind die Erträge anteilig den geförderten und den nicht geförderten Beiträgen zuzuordnen und entsprechend aufzuzeichnen. Die auf den 31. Dezember des jeweiligen Kalenderjahres fortgeschriebenen Beträge sind gesondert aufzuzeichnen.</w:t>
      </w:r>
    </w:p>
    <w:p>
      <w:r>
        <w:t xml:space="preserve">(2) Für einen Anbieter nach § 80 zweite Alternative des Einkommensteuergesetzes gilt Absatz 1 sinngemäß. Darüber hinaus hat er Aufzeichnungen zu führen über</w:t>
      </w:r>
    </w:p>
    <w:p>
      <w:pPr>
        <w:ind w:left="420"/>
      </w:pPr>
      <w:r>
        <w:t xml:space="preserve">1. Beiträge, auf die § 3 Nr. 63 des Einkommensteuergesetzes angewendet wurde; hierzu gehören auch die Beiträge im Sinne des § 5 Abs. 3 Satz 2 der Lohnsteuer-Durchführungsverordnung,</w:t>
      </w:r>
    </w:p>
    <w:p>
      <w:pPr>
        <w:ind w:left="420"/>
      </w:pPr>
      <w:r>
        <w:t xml:space="preserve">2. Beiträge, auf die § 40b des Einkommensteuergesetzes in der am 31. Dezember 2004 geltenden Fassung angewendet wurde, und</w:t>
      </w:r>
    </w:p>
    <w:p>
      <w:pPr>
        <w:ind w:left="420"/>
      </w:pPr>
      <w:r>
        <w:t xml:space="preserve">3. Leistungen, auf die § 3 Nr. 66 des Einkommensteuergesetzes angewendet wurde.</w:t>
      </w:r>
    </w:p>
    <w:p>
      <w:r>
        <w:t xml:space="preserve">(3) Für die Aufbewahrung der Aufzeichnungen nach den Absätzen 1 und 2, der Mitteilungen nach § 5 Abs. 2 der Lohnsteuer-Durchführungsverordnung und des Antrags auf Altersvorsorgezulage oder der einer Antragstellung nach § 89 Abs. 3 des Einkommensteuergesetzes zugrunde liegenden Unterlagen gilt § 147 Abs. 3 der Abgabenordnung entsprechend. Die Unterlagen sind spätestens am Ende des zehnten Kalenderjahres zu löschen oder zu vernichten, das auf die Mitteilung nach § 22 Nr. 5 Satz 7 des Einkommensteuergesetzes folgt. Satz 2 gilt nicht, soweit die Löschung oder Vernichtung schutzwürdige Interessen des Anlegers oder die Wahrnehmung von Aufgaben oder berechtigten Interessen des Anbieters beeinträchtigen würde.</w:t>
      </w:r>
    </w:p>
    <w:p>
      <w:r>
        <w:t xml:space="preserve">(3a) Unterlagen über die Auszahlung des Altersvorsorge-Eigenheimbetrages im Sinne des § 92a Absatz 1 Satz 1 des Einkommensteuergesetzes sowie Unterlagen, die eine wohnungswirtschaftliche Verwendung im Sinne des § 92a Absatz 1 Satz 1 des Einkommensteuergesetzes nach dem 31. Dezember 2007 eines Darlehens im Sinne des § 1 Absatz 1a des Altersvorsorgeverträge-Zertifizierungsgesetzes nachweisen, sind für die Dauer von zehn Jahren nach der Auflösung oder der Schließung des für den Altersvorsorgevertrag geführten Wohnförderkontos (§ 92a Absatz 2 Satz 1 des Einkommensteuergesetzes) aufzubewahren.</w:t>
      </w:r>
    </w:p>
    <w:p>
      <w:r>
        <w:t xml:space="preserve">(4) Nach Absatz 3 Satz 1 und Absatz 3a aufzubewahrende schriftliche Unterlagen können als Wiedergabe auf einem Bild- oder anderen dauerhaften Datenträger aufbewahrt werden, wenn sichergestellt ist, dass</w:t>
      </w:r>
    </w:p>
    <w:p>
      <w:pPr>
        <w:ind w:left="420"/>
      </w:pPr>
      <w:r>
        <w:t xml:space="preserve">1. die Wiedergabe während der Dauer der Aufbewahrungsfrist verfügbar bleibt und innerhalb angemessener Zeit lesbar gemacht werden kann und</w:t>
      </w:r>
    </w:p>
    <w:p>
      <w:pPr>
        <w:ind w:left="420"/>
      </w:pPr>
      <w:r>
        <w:t xml:space="preserve">2. die lesbar gemachte Wiedergabe mit der schriftlichen Unterlage bildlich und inhaltlich übereinstimmt.</w:t>
      </w:r>
    </w:p>
    <w:p>
      <w:r>
        <w:t xml:space="preserve">Das Vorliegen der Voraussetzung nach Satz 1 Nr. 2 ist vor der Vernichtung der schriftlichen Unterlage zu dokumentieren.</w:t>
      </w:r>
    </w:p>
    <w:p>
      <w:r>
        <w:t xml:space="preserve">(5) Sonstige Vorschriften über Aufzeichnungs- und Aufbewahrungspflichten bleiben unberührt.</w:t>
      </w:r>
    </w:p>
    <w:p>
      <w:r>
        <w:t xml:space="preserve">(6) Der Anbieter hat der zentralen Stelle auf Anforderung den Inhalt der Aufzeichnungen mitzuteilen und die für die Überprüfung der Zulage erforderlichen Unterlagen zur Verfügung zu stellen.</w:t>
      </w:r>
    </w:p>
    <w:p>
      <w:r>
        <w:rPr>
          <w:color w:val="555555"/>
          <w:sz w:val="17"/>
        </w:rPr>
        <w:t xml:space="preserve">Zitiervorschlag: § 19 AltvDV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https://recht.nulegal.eu/gesetze/AltvDV/19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