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AltvDV — Erteilung der Anbieterbescheinigungen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Bescheinigungen nach § 22 Nr. 5 Satz 7, § 92 oder § 94 Abs. 1 Satz 4 des Einkommensteuergesetzes mit Hilfe automatischer Einrichtungen erstellt, können Unterschrift und Namenswiedergabe des Anbieters oder des Vertretungsberechtigten fehlen.</w:t>
      </w:r>
    </w:p>
    <w:p>
      <w:r>
        <w:t xml:space="preserve">(2) Wird die Bescheinigung nach § 92 oder § 94 Abs. 1 Satz 4 des Einkommensteuergesetzes durch die Post übermittelt, ist das Datum der Aufgabe zur Post auf der Bescheinigung anzugeben. Für die Berechnung der Frist nach § 90 Abs. 4 Satz 2 des Einkommensteuergesetzes ist § 122 Abs. 2 und 2a der Abgabenordnung sinngemäß anzuwenden.</w:t>
      </w:r>
    </w:p>
    <w:p>
      <w:r>
        <w:rPr>
          <w:color w:val="555555"/>
          <w:sz w:val="17"/>
        </w:rPr>
        <w:t xml:space="preserve">Zitiervorschlag: § 18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