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AltvDV — Kleinbetragsgrenze für Rückforderungen gegenüber dem Zulageberechtigten</w:t>
      </w:r>
    </w:p>
    <w:p>
      <w:r>
        <w:rPr>
          <w:color w:val="555555"/>
          <w:sz w:val="18"/>
        </w:rPr>
        <w:t xml:space="preserve">Altersvorsorge-Durchführungsverordnung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Ein Rückzahlungsbetrag nach § 94 Absatz 2 des Einkommensteuergesetzes, der nicht über den Anbieter zurückgefordert werden kann, wird nur festgesetzt, wenn die Rückforderung mindestens 25 Euro beträgt.</w:t>
      </w:r>
    </w:p>
    <w:p>
      <w:r>
        <w:rPr>
          <w:color w:val="555555"/>
          <w:sz w:val="17"/>
        </w:rPr>
        <w:t xml:space="preserve">Zitiervorschlag: § 16 AltvDV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https://recht.nulegal.eu/gesetze/AltvDV/16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