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AltvDV — Besondere Mitteilungspflichten der zentralen Stelle gegenüber dem Anbieter</w:t>
      </w:r>
    </w:p>
    <w:p>
      <w:r>
        <w:rPr>
          <w:color w:val="555555"/>
          <w:sz w:val="18"/>
        </w:rPr>
        <w:t xml:space="preserve">Altersvorsorge-Durchführungsverordnung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zentrale Stelle hat dem Anbieter das Ermittlungsergebnis (§ 90 Abs. 1 Satz 1 des Einkommensteuergesetzes) mitzuteilen. Die Mitteilung steht unter dem Vorbehalt der Nachprüfung (§ 164 der Abgabenordnung). Das Ermittlungsergebnis kann auch durch Abweisung des nach § 89 Abs. 2 des Einkommensteuergesetzes übermittelten Datensatzes, der um eine in dem vom Bundesministerium der Finanzen veröffentlichten Fehlerkatalog besonders gekennzeichnete Fehlermeldung ergänzt wird, übermittelt werden. Ist der Datensatz nach § 89 Abs. 2 des Einkommensteuergesetzes auf Grund von unzureichenden oder fehlerhaften Angaben des Zulageberechtigten abgewiesen sowie um eine Fehlermeldung ergänzt worden und werden die Angaben innerhalb der Antragsfrist des § 89 Abs. 1 Satz 1 des Einkommensteuergesetzes von dem Zulageberechtigten an den Anbieter nicht nachgereicht, gilt auch diese Abweisung des Datensatzes als Übermittlung des Ermittlungsergebnisses.</w:t>
      </w:r>
    </w:p>
    <w:p>
      <w:r>
        <w:t xml:space="preserve">(2) Die zentrale Stelle hat dem Anbieter die Auszahlung der Zulage nach § 90 Abs. 2 Satz 1 des Einkommensteuergesetzes und § 15, jeweils bezogen auf den Zulageberechtigten, mitzuteilen. Mit Zugang der Mitteilung nach Satz 1 entfällt der Vorbehalt der Nachprüfung der Mitteilung nach Absatz 1 Satz 2. Die zentrale Stelle kann eine Mahnung (§ 259 der Abgabenordnung) nach amtlich vorgeschriebenem Datensatz an den Anbieter übermitteln.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12 AltvDV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https://recht.nulegal.eu/gesetze/AltvDV/12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