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AltvDV — Datensätze</w:t>
      </w:r>
    </w:p>
    <w:p>
      <w:r>
        <w:rPr>
          <w:color w:val="555555"/>
          <w:sz w:val="18"/>
        </w:rPr>
        <w:t xml:space="preserve">Altersvorsorge-Durchführungsverordnung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Eine Übermittlung von Daten nach</w:t>
      </w:r>
    </w:p>
    <w:p>
      <w:pPr>
        <w:ind w:left="420"/>
      </w:pPr>
      <w:r>
        <w:t xml:space="preserve">1. § § 10 Absatz 2a, 2b, 2c und 4b, den §§ 10a, 22a oder Abschnitt XI des Einkommensteuergesetzes,</w:t>
      </w:r>
    </w:p>
    <w:p>
      <w:pPr>
        <w:ind w:left="420"/>
      </w:pPr>
      <w:r>
        <w:t xml:space="preserve">2. § 32b Absatz 3 des Einkommensteuergesetzes, soweit auf § 22a des Einkommensteuergesetzes verwiesen wird, § 52 Absatz 30b des Einkommensteuergesetzes oder</w:t>
      </w:r>
    </w:p>
    <w:p>
      <w:pPr>
        <w:ind w:left="420"/>
      </w:pPr>
      <w:r>
        <w:t xml:space="preserve">3. dieser Verordnung</w:t>
      </w:r>
    </w:p>
    <w:p>
      <w:r>
        <w:t xml:space="preserve">sowie eine nach diesen Vorschriften bestehende Anzeige- und Mitteilungspflicht zwischen den am Verfahren Beteiligten erfolgen in Form eines amtlich vorgeschriebenen Datensatzes.</w:t>
      </w:r>
    </w:p>
    <w:p>
      <w:r>
        <w:t xml:space="preserve">(2) Absatz 1 gilt nicht für</w:t>
      </w:r>
    </w:p>
    <w:p>
      <w:pPr>
        <w:ind w:left="420"/>
      </w:pPr>
      <w:r>
        <w:t xml:space="preserve">1. Mitteilungen an den Zulageberechtigten,</w:t>
      </w:r>
    </w:p>
    <w:p>
      <w:pPr>
        <w:ind w:left="420"/>
      </w:pPr>
      <w:r>
        <w:t xml:space="preserve">2. Mitteilungen des Zulageberechtigten nach § 10a oder Abschnitt XI des Einkommensteuergesetzes,</w:t>
      </w:r>
    </w:p>
    <w:p>
      <w:pPr>
        <w:ind w:left="420"/>
      </w:pPr>
      <w:r>
        <w:t xml:space="preserve">3. Anzeigen nach den §§ 5 und 13 oder</w:t>
      </w:r>
    </w:p>
    <w:p>
      <w:pPr>
        <w:ind w:left="420"/>
      </w:pPr>
      <w:r>
        <w:t xml:space="preserve">4. Mitteilungen nach den §§ 6, 10 Absatz 2 Satz 2 und § 11 Absatz 1 und 3.</w:t>
      </w:r>
    </w:p>
    <w:p>
      <w:r>
        <w:t xml:space="preserve">Wird die Mitteilung nach § 11 Abs. 1 und 3 über die zentrale Stelle übermittelt, ist Absatz 1 anzuwenden. Die Mitteilung des Anbieters an den Zulageberechtigten nach § 90 Abs. 1 Satz 3 des Einkommensteuergesetzes kann mit der Bescheinigung nach § 92 des Einkommensteuergesetzes erfolgen.</w:t>
      </w:r>
    </w:p>
    <w:p>
      <w:r>
        <w:rPr>
          <w:color w:val="555555"/>
          <w:sz w:val="17"/>
        </w:rPr>
        <w:t xml:space="preserve">Zitiervorschlag: § 1 AltvDV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https://recht.nulegal.eu/gesetze/AltvDV/1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