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AltschRefG (Brandenburg)</w:t>
      </w:r>
    </w:p>
    <w:p>
      <w:r>
        <w:rPr>
          <w:color w:val="555555"/>
          <w:sz w:val="18"/>
        </w:rPr>
        <w:t xml:space="preserve">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Anteil der Gemeinden und Landkreise ab dem Jahr 2005 ist, abhängig von der Anschlußregelung nach Artikel 4 des Gesetzes zur Regelung der Altschulden für gesellschaftliche Einrichtungen, zur Änderung des</w:t>
      </w:r>
    </w:p>
    <w:p>
      <w:r>
        <w:t xml:space="preserve">Erblastentilgungsfonds-Gesetzes und zur Änderung des</w:t>
      </w:r>
    </w:p>
    <w:p>
      <w:r>
        <w:t xml:space="preserve">Investitionsförderungsgesetzes Aufbau Ost vom 6. März 1997 (BGBl. I S. 434), bis zum 31. Dezember 2004 neu festzulegen.</w:t>
      </w:r>
    </w:p>
    <w:p>
      <w:r>
        <w:rPr>
          <w:color w:val="555555"/>
          <w:sz w:val="17"/>
        </w:rPr>
        <w:t xml:space="preserve">Zitiervorschlag: § 5 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https://recht.nulegal.eu/gesetze/AltschRefG/5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