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AltschRefG (Brandenburg)</w:t>
      </w:r>
    </w:p>
    <w:p>
      <w:r>
        <w:rPr>
          <w:color w:val="555555"/>
          <w:sz w:val="18"/>
        </w:rPr>
        <w:t xml:space="preserve">Altschuldenrefinanzierungsgesetz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der Anteil der Gemeinden und Landkreise nicht nach § 3 erbracht wird, kann das Land insgesamt eine Verrechnung mit dem Anteil der Gemeinden an der Einkommensteuer vornehmen. Die Verrechnung erfolgt mit den</w:t>
      </w:r>
    </w:p>
    <w:p>
      <w:r>
        <w:t xml:space="preserve">vierteljährlichen Abschlagszahlungen nach der jeweils geltenden Verordnung über die Aufteilung und Auszahlung des Gemeindeanteils an der Einkommensteuer und die Abführung der Gewerbesteuerumlage.</w:t>
      </w:r>
    </w:p>
    <w:p>
      <w:r>
        <w:rPr>
          <w:color w:val="555555"/>
          <w:sz w:val="17"/>
        </w:rPr>
        <w:t xml:space="preserve">Zitiervorschlag: § 4 AltschRefG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https://recht.nulegal.eu/gesetze/AltschRefG/4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